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24" w:rsidRDefault="00EB3A24" w:rsidP="00EB3A24">
      <w:pPr>
        <w:pStyle w:val="FrontPageTitle"/>
      </w:pPr>
    </w:p>
    <w:p w:rsidR="00A5470F" w:rsidRDefault="00A5470F" w:rsidP="00EB3A24">
      <w:pPr>
        <w:pStyle w:val="FrontPageTitle"/>
      </w:pPr>
    </w:p>
    <w:p w:rsidR="00EB3A24" w:rsidRPr="00EB3A24" w:rsidRDefault="00EB3A24" w:rsidP="00EB3A24">
      <w:pPr>
        <w:pStyle w:val="FrontPageTitle"/>
      </w:pPr>
      <w:r w:rsidRPr="00EB3A24">
        <w:t xml:space="preserve">SCOTTISH CAPITAL </w:t>
      </w:r>
    </w:p>
    <w:p w:rsidR="00EB3A24" w:rsidRDefault="00EB3A24" w:rsidP="00EB3A24">
      <w:pPr>
        <w:pStyle w:val="FrontPageTitle"/>
      </w:pPr>
      <w:r w:rsidRPr="00EB3A24">
        <w:t>INVESTMENT MANUAL</w:t>
      </w:r>
    </w:p>
    <w:p w:rsidR="00EB3A24" w:rsidRDefault="00EB3A24" w:rsidP="00EB3A24">
      <w:pPr>
        <w:pStyle w:val="FrontPageTitle"/>
      </w:pPr>
    </w:p>
    <w:p w:rsidR="000A442C" w:rsidRDefault="000A442C" w:rsidP="00EB3A24">
      <w:pPr>
        <w:pStyle w:val="FrontPageTitle"/>
      </w:pPr>
    </w:p>
    <w:p w:rsidR="00EB3A24" w:rsidRDefault="00803469" w:rsidP="00EB3A24">
      <w:pPr>
        <w:pStyle w:val="FrontPageTitle"/>
      </w:pPr>
      <w:r>
        <w:t>Strategic Assessment</w:t>
      </w:r>
    </w:p>
    <w:p w:rsidR="000A442C" w:rsidRDefault="00196C20" w:rsidP="000A442C">
      <w:pPr>
        <w:pStyle w:val="FrontPageTitle"/>
        <w:jc w:val="center"/>
      </w:pPr>
      <w:r w:rsidRPr="00196C20">
        <w:rPr>
          <w:noProof/>
          <w:lang w:eastAsia="en-GB"/>
        </w:rPr>
        <w:drawing>
          <wp:inline distT="0" distB="0" distL="0" distR="0">
            <wp:extent cx="4152381" cy="3628572"/>
            <wp:effectExtent l="19050" t="0" r="519"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152381" cy="3628572"/>
                    </a:xfrm>
                    <a:prstGeom prst="rect">
                      <a:avLst/>
                    </a:prstGeom>
                  </pic:spPr>
                </pic:pic>
              </a:graphicData>
            </a:graphic>
          </wp:inline>
        </w:drawing>
      </w:r>
    </w:p>
    <w:p w:rsidR="00EB3A24" w:rsidRPr="00EB3A24" w:rsidRDefault="00EB3A24" w:rsidP="00EB3A24">
      <w:pPr>
        <w:pStyle w:val="FrontPageTitle"/>
        <w:sectPr w:rsidR="00EB3A24" w:rsidRPr="00EB3A24" w:rsidSect="004C798B">
          <w:footerReference w:type="default" r:id="rId9"/>
          <w:pgSz w:w="11906" w:h="16838"/>
          <w:pgMar w:top="1440" w:right="1440" w:bottom="1440" w:left="1440" w:header="708" w:footer="708" w:gutter="0"/>
          <w:cols w:space="708"/>
          <w:docGrid w:linePitch="360"/>
        </w:sectPr>
      </w:pPr>
    </w:p>
    <w:p w:rsidR="00903591" w:rsidRDefault="00903591" w:rsidP="00086914">
      <w:pPr>
        <w:pStyle w:val="Heading1"/>
      </w:pPr>
      <w:r>
        <w:lastRenderedPageBreak/>
        <w:t>Overview</w:t>
      </w:r>
    </w:p>
    <w:p w:rsidR="00472773" w:rsidRDefault="00AE7BAB" w:rsidP="00DD1639">
      <w:pPr>
        <w:pStyle w:val="StandardParagrpah"/>
      </w:pPr>
      <w:r>
        <w:rPr>
          <w:noProof/>
          <w:lang w:eastAsia="en-GB"/>
        </w:rPr>
        <w:pict>
          <v:group id="_x0000_s1034" style="position:absolute;margin-left:26.2pt;margin-top:75.2pt;width:351pt;height:261pt;z-index:251666432" coordorigin="2340,1440" coordsize="7020,5220">
            <v:rect id="_x0000_s1027" style="position:absolute;left:2340;top:1440;width:7020;height:533;v-text-anchor:middle" fillcolor="#002060">
              <v:textbox style="mso-next-textbox:#_x0000_s1027">
                <w:txbxContent>
                  <w:p w:rsidR="00C544CD" w:rsidRPr="00385F09" w:rsidRDefault="00C544CD" w:rsidP="00472773">
                    <w:pPr>
                      <w:spacing w:after="0" w:line="240" w:lineRule="auto"/>
                      <w:jc w:val="center"/>
                      <w:rPr>
                        <w:b/>
                        <w:color w:val="FFFFFF" w:themeColor="background1"/>
                        <w:sz w:val="28"/>
                        <w:szCs w:val="28"/>
                      </w:rPr>
                    </w:pPr>
                    <w:r>
                      <w:rPr>
                        <w:b/>
                        <w:color w:val="FFFFFF" w:themeColor="background1"/>
                        <w:sz w:val="28"/>
                        <w:szCs w:val="28"/>
                      </w:rPr>
                      <w:t>Strategic Assessment (S</w:t>
                    </w:r>
                    <w:r w:rsidRPr="00385F09">
                      <w:rPr>
                        <w:b/>
                        <w:color w:val="FFFFFF" w:themeColor="background1"/>
                        <w:sz w:val="28"/>
                        <w:szCs w:val="28"/>
                      </w:rPr>
                      <w:t>A)</w:t>
                    </w:r>
                  </w:p>
                </w:txbxContent>
              </v:textbox>
            </v:rect>
            <v:rect id="_x0000_s1028" style="position:absolute;left:5040;top:2160;width:4320;height:540;v-text-anchor:middle" fillcolor="#e36c0a [2409]">
              <v:textbox style="mso-next-textbox:#_x0000_s1028">
                <w:txbxContent>
                  <w:p w:rsidR="00C544CD" w:rsidRPr="004E0BCE" w:rsidRDefault="00C544CD" w:rsidP="00472773">
                    <w:pPr>
                      <w:spacing w:after="0" w:line="240" w:lineRule="auto"/>
                      <w:jc w:val="center"/>
                      <w:rPr>
                        <w:b/>
                        <w:sz w:val="24"/>
                        <w:szCs w:val="24"/>
                      </w:rPr>
                    </w:pPr>
                    <w:r>
                      <w:rPr>
                        <w:b/>
                        <w:sz w:val="24"/>
                        <w:szCs w:val="24"/>
                      </w:rPr>
                      <w:t>Response</w:t>
                    </w:r>
                  </w:p>
                </w:txbxContent>
              </v:textbox>
            </v:rect>
            <v:rect id="_x0000_s1029" style="position:absolute;left:2340;top:2160;width:2518;height:540;v-text-anchor:middle" fillcolor="#e36c0a [2409]">
              <v:textbox style="mso-next-textbox:#_x0000_s1029">
                <w:txbxContent>
                  <w:p w:rsidR="00C544CD" w:rsidRPr="004E0BCE" w:rsidRDefault="00C544CD" w:rsidP="00472773">
                    <w:pPr>
                      <w:spacing w:after="0" w:line="240" w:lineRule="auto"/>
                      <w:jc w:val="center"/>
                      <w:rPr>
                        <w:b/>
                        <w:sz w:val="24"/>
                        <w:szCs w:val="24"/>
                      </w:rPr>
                    </w:pPr>
                    <w:r>
                      <w:rPr>
                        <w:b/>
                        <w:sz w:val="24"/>
                        <w:szCs w:val="24"/>
                      </w:rPr>
                      <w:t>Question</w:t>
                    </w:r>
                  </w:p>
                </w:txbxContent>
              </v:textbox>
            </v:rect>
            <v:rect id="_x0000_s1030" style="position:absolute;left:2340;top:2880;width:2518;height:1800;v-text-anchor:middle">
              <v:textbox style="mso-next-textbox:#_x0000_s1030">
                <w:txbxContent>
                  <w:p w:rsidR="00C544CD" w:rsidRPr="0032136D" w:rsidRDefault="00C544CD" w:rsidP="00472773">
                    <w:pPr>
                      <w:spacing w:after="0" w:line="240" w:lineRule="auto"/>
                      <w:rPr>
                        <w:rFonts w:ascii="Arial" w:hAnsi="Arial" w:cs="Arial"/>
                        <w:szCs w:val="16"/>
                      </w:rPr>
                    </w:pPr>
                    <w:r>
                      <w:rPr>
                        <w:rFonts w:ascii="Arial" w:hAnsi="Arial" w:cs="Arial"/>
                        <w:szCs w:val="16"/>
                      </w:rPr>
                      <w:t>Why is this proposal a good thing to do?</w:t>
                    </w:r>
                  </w:p>
                </w:txbxContent>
              </v:textbox>
            </v:rect>
            <v:rect id="_x0000_s1031" style="position:absolute;left:5040;top:2880;width:4320;height:1800;v-text-anchor:middle">
              <v:textbox style="mso-next-textbox:#_x0000_s1031">
                <w:txbxContent>
                  <w:p w:rsidR="00C544CD" w:rsidRDefault="00C544CD" w:rsidP="00472773">
                    <w:pPr>
                      <w:spacing w:after="0" w:line="240" w:lineRule="auto"/>
                      <w:contextualSpacing/>
                      <w:rPr>
                        <w:rFonts w:ascii="Arial" w:hAnsi="Arial" w:cs="Arial"/>
                        <w:sz w:val="20"/>
                        <w:szCs w:val="20"/>
                      </w:rPr>
                    </w:pPr>
                    <w:r>
                      <w:rPr>
                        <w:rFonts w:ascii="Arial" w:hAnsi="Arial" w:cs="Arial"/>
                        <w:sz w:val="20"/>
                        <w:szCs w:val="20"/>
                      </w:rPr>
                      <w:t>Brief Outline of:</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Current arrangements</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Need for change</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Benefits to be gained</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Fit with Strategic Investment Priorities</w:t>
                    </w:r>
                  </w:p>
                </w:txbxContent>
              </v:textbox>
            </v:rect>
            <v:rect id="_x0000_s1032" style="position:absolute;left:2340;top:4860;width:2518;height:1800;v-text-anchor:middle">
              <v:textbox style="mso-next-textbox:#_x0000_s1032">
                <w:txbxContent>
                  <w:p w:rsidR="00C544CD" w:rsidRPr="0032136D" w:rsidRDefault="00C544CD" w:rsidP="00472773">
                    <w:pPr>
                      <w:spacing w:after="0" w:line="240" w:lineRule="auto"/>
                      <w:rPr>
                        <w:rFonts w:ascii="Arial" w:hAnsi="Arial" w:cs="Arial"/>
                        <w:szCs w:val="16"/>
                      </w:rPr>
                    </w:pPr>
                    <w:r>
                      <w:rPr>
                        <w:rFonts w:ascii="Arial" w:hAnsi="Arial" w:cs="Arial"/>
                        <w:szCs w:val="16"/>
                      </w:rPr>
                      <w:t>What solution is being considered?</w:t>
                    </w:r>
                  </w:p>
                </w:txbxContent>
              </v:textbox>
            </v:rect>
            <v:rect id="_x0000_s1033" style="position:absolute;left:5040;top:4860;width:4320;height:1800;v-text-anchor:middle">
              <v:textbox style="mso-next-textbox:#_x0000_s1033">
                <w:txbxContent>
                  <w:p w:rsidR="00C544CD" w:rsidRDefault="00C544CD" w:rsidP="00472773">
                    <w:pPr>
                      <w:spacing w:after="0" w:line="240" w:lineRule="auto"/>
                      <w:contextualSpacing/>
                      <w:rPr>
                        <w:rFonts w:ascii="Arial" w:hAnsi="Arial" w:cs="Arial"/>
                        <w:sz w:val="20"/>
                        <w:szCs w:val="20"/>
                      </w:rPr>
                    </w:pPr>
                    <w:r>
                      <w:rPr>
                        <w:rFonts w:ascii="Arial" w:hAnsi="Arial" w:cs="Arial"/>
                        <w:sz w:val="20"/>
                        <w:szCs w:val="20"/>
                      </w:rPr>
                      <w:t>Early thoughts on:</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Scope of services covered</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Proposed service arrangement</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Service providers</w:t>
                    </w:r>
                  </w:p>
                  <w:p w:rsidR="00C544CD"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Impact on assets</w:t>
                    </w:r>
                  </w:p>
                  <w:p w:rsidR="00C544CD" w:rsidRPr="004F10D7" w:rsidRDefault="00C544CD" w:rsidP="00472773">
                    <w:pPr>
                      <w:pStyle w:val="ListParagraph"/>
                      <w:numPr>
                        <w:ilvl w:val="0"/>
                        <w:numId w:val="27"/>
                      </w:numPr>
                      <w:spacing w:after="0"/>
                      <w:rPr>
                        <w:rFonts w:ascii="Arial" w:hAnsi="Arial" w:cs="Arial"/>
                        <w:sz w:val="20"/>
                        <w:szCs w:val="20"/>
                      </w:rPr>
                    </w:pPr>
                    <w:r>
                      <w:rPr>
                        <w:rFonts w:ascii="Arial" w:hAnsi="Arial" w:cs="Arial"/>
                        <w:sz w:val="20"/>
                        <w:szCs w:val="20"/>
                      </w:rPr>
                      <w:t>Value &amp; procurement</w:t>
                    </w:r>
                  </w:p>
                </w:txbxContent>
              </v:textbox>
            </v:rect>
            <w10:wrap type="topAndBottom"/>
          </v:group>
        </w:pict>
      </w:r>
      <w:r w:rsidR="00903591">
        <w:t xml:space="preserve">The </w:t>
      </w:r>
      <w:r w:rsidR="00472773">
        <w:t xml:space="preserve">main </w:t>
      </w:r>
      <w:r w:rsidR="00903591">
        <w:t xml:space="preserve">purpose of the Strategic Assessment is to </w:t>
      </w:r>
      <w:r w:rsidR="00803469">
        <w:t xml:space="preserve">identify and </w:t>
      </w:r>
      <w:r w:rsidR="00903591">
        <w:t>briefly outli</w:t>
      </w:r>
      <w:r w:rsidR="0062335A">
        <w:t xml:space="preserve">ne the need </w:t>
      </w:r>
      <w:r w:rsidR="00DD6D39">
        <w:t>for change, the bene</w:t>
      </w:r>
      <w:r w:rsidR="00B43B0F">
        <w:t xml:space="preserve">fits it might deliver, and </w:t>
      </w:r>
      <w:r w:rsidR="00DD6D39">
        <w:t xml:space="preserve">the case for potential investment.  It will do this by responding, as appropriate, to the following </w:t>
      </w:r>
      <w:r w:rsidR="00472773">
        <w:t>questions:</w:t>
      </w:r>
    </w:p>
    <w:p w:rsidR="0062335A" w:rsidRDefault="0062335A" w:rsidP="00323FA0">
      <w:pPr>
        <w:pStyle w:val="NoSpacing"/>
      </w:pPr>
      <w:r>
        <w:t xml:space="preserve">  </w:t>
      </w:r>
    </w:p>
    <w:p w:rsidR="00DD6D39" w:rsidRDefault="007B0468" w:rsidP="00DD6D39">
      <w:pPr>
        <w:pStyle w:val="StandardParagrpah"/>
      </w:pPr>
      <w:r>
        <w:t>The Strategic Assessment can</w:t>
      </w:r>
      <w:r w:rsidR="00472773">
        <w:t xml:space="preserve"> also be used to </w:t>
      </w:r>
      <w:r>
        <w:t xml:space="preserve">gain consensus and support from stakeholders and Scottish Government </w:t>
      </w:r>
      <w:r w:rsidR="00DD6D39">
        <w:t>on the sco</w:t>
      </w:r>
      <w:r w:rsidR="00B43B0F">
        <w:t>pe of change needed and</w:t>
      </w:r>
      <w:r w:rsidR="00DD6D39">
        <w:t xml:space="preserve"> </w:t>
      </w:r>
      <w:r w:rsidR="00B43B0F">
        <w:t xml:space="preserve">the case </w:t>
      </w:r>
      <w:r w:rsidR="00DD6D39">
        <w:t>for i</w:t>
      </w:r>
      <w:r w:rsidR="00B43B0F">
        <w:t>t being</w:t>
      </w:r>
      <w:r>
        <w:t xml:space="preserve"> a</w:t>
      </w:r>
      <w:r w:rsidR="00B43B0F">
        <w:t>n investment</w:t>
      </w:r>
      <w:r>
        <w:t xml:space="preserve"> priority.</w:t>
      </w:r>
      <w:r w:rsidR="00DD6D39" w:rsidRPr="00DD6D39">
        <w:t xml:space="preserve"> </w:t>
      </w:r>
      <w:r w:rsidR="00DD6D39">
        <w:t xml:space="preserve"> The objective is </w:t>
      </w:r>
      <w:r w:rsidR="00B43B0F">
        <w:t xml:space="preserve">thus </w:t>
      </w:r>
      <w:r w:rsidR="00DD6D39">
        <w:t xml:space="preserve">to provide clarity, challenge, consensus, and organisational support for the proposal.  </w:t>
      </w:r>
      <w:r w:rsidR="00B43B0F">
        <w:t xml:space="preserve">It is therefore important that the Strategic Assessment is not prepared in isolation or based on a single viewpoint.  </w:t>
      </w:r>
    </w:p>
    <w:p w:rsidR="00323FA0" w:rsidRDefault="007B0468" w:rsidP="00DD1639">
      <w:pPr>
        <w:pStyle w:val="StandardParagrpah"/>
      </w:pPr>
      <w:r>
        <w:t>A Strategic Assessment is to be completed for all proposals anticipated to need funding approval above the Board’s delegated authority, but it is also considered best practice for consider</w:t>
      </w:r>
      <w:r w:rsidR="00DD6D39">
        <w:t xml:space="preserve">ation </w:t>
      </w:r>
      <w:r>
        <w:t xml:space="preserve">of </w:t>
      </w:r>
      <w:r w:rsidR="00DD6D39">
        <w:t xml:space="preserve">all </w:t>
      </w:r>
      <w:r>
        <w:t xml:space="preserve">the Board’s service change and investment proposals.  </w:t>
      </w:r>
      <w:r w:rsidR="00323FA0">
        <w:t>The submission will consist of a single page Strategic Assessment Template</w:t>
      </w:r>
      <w:r w:rsidR="00DD6D39">
        <w:t xml:space="preserve"> which is to be incorporated into the Board’s Property &amp; Asset Management Strategy (PAMS)</w:t>
      </w:r>
      <w:r w:rsidR="00B43B0F">
        <w:t xml:space="preserve">.  Blank templates are available on the SCIM website and </w:t>
      </w:r>
      <w:r w:rsidR="00323FA0">
        <w:t xml:space="preserve">an example of a completed Template </w:t>
      </w:r>
      <w:r w:rsidR="00B43B0F">
        <w:t xml:space="preserve">is </w:t>
      </w:r>
      <w:r w:rsidR="00323FA0">
        <w:t>included in A</w:t>
      </w:r>
      <w:r w:rsidR="00AF1B8D">
        <w:t xml:space="preserve">ppendix </w:t>
      </w:r>
      <w:r w:rsidR="00B43B0F">
        <w:t>A</w:t>
      </w:r>
      <w:r w:rsidR="00AF1B8D">
        <w:t>.</w:t>
      </w:r>
    </w:p>
    <w:p w:rsidR="00DD6D39" w:rsidRDefault="00DD6D39">
      <w:pPr>
        <w:rPr>
          <w:rFonts w:ascii="Arial" w:eastAsiaTheme="majorEastAsia" w:hAnsi="Arial" w:cstheme="majorBidi"/>
          <w:b/>
          <w:bCs/>
          <w:color w:val="000000" w:themeColor="text1"/>
          <w:sz w:val="28"/>
          <w:szCs w:val="28"/>
        </w:rPr>
      </w:pPr>
      <w:r>
        <w:br w:type="page"/>
      </w:r>
    </w:p>
    <w:p w:rsidR="00FF79E1" w:rsidRDefault="00FF79E1" w:rsidP="00086914">
      <w:pPr>
        <w:pStyle w:val="Heading1"/>
      </w:pPr>
      <w:r>
        <w:lastRenderedPageBreak/>
        <w:t>Why is this proposal a good thing to do?</w:t>
      </w:r>
    </w:p>
    <w:p w:rsidR="00FF79E1" w:rsidRDefault="00AE7BAB" w:rsidP="00FF79E1">
      <w:pPr>
        <w:pStyle w:val="NoSpacing"/>
      </w:pPr>
      <w:r>
        <w:rPr>
          <w:noProof/>
          <w:lang w:eastAsia="en-GB"/>
        </w:rPr>
        <w:pict>
          <v:group id="_x0000_s1039" style="position:absolute;margin-left:20.5pt;margin-top:1.2pt;width:351pt;height:126pt;z-index:251671552" coordorigin="2340,2160" coordsize="7020,2520">
            <v:rect id="_x0000_s1035" style="position:absolute;left:5040;top:2160;width:4320;height:540;v-text-anchor:middle" fillcolor="#e36c0a [2409]">
              <v:textbox style="mso-next-textbox:#_x0000_s1035">
                <w:txbxContent>
                  <w:p w:rsidR="00C544CD" w:rsidRPr="004E0BCE" w:rsidRDefault="00C544CD" w:rsidP="00FF79E1">
                    <w:pPr>
                      <w:spacing w:after="0" w:line="240" w:lineRule="auto"/>
                      <w:jc w:val="center"/>
                      <w:rPr>
                        <w:b/>
                        <w:sz w:val="24"/>
                        <w:szCs w:val="24"/>
                      </w:rPr>
                    </w:pPr>
                    <w:r>
                      <w:rPr>
                        <w:b/>
                        <w:sz w:val="24"/>
                        <w:szCs w:val="24"/>
                      </w:rPr>
                      <w:t>Response</w:t>
                    </w:r>
                  </w:p>
                </w:txbxContent>
              </v:textbox>
            </v:rect>
            <v:rect id="_x0000_s1036" style="position:absolute;left:2340;top:2160;width:2518;height:540;v-text-anchor:middle" fillcolor="#e36c0a [2409]">
              <v:textbox style="mso-next-textbox:#_x0000_s1036">
                <w:txbxContent>
                  <w:p w:rsidR="00C544CD" w:rsidRPr="004E0BCE" w:rsidRDefault="00C544CD" w:rsidP="00FF79E1">
                    <w:pPr>
                      <w:spacing w:after="0" w:line="240" w:lineRule="auto"/>
                      <w:jc w:val="center"/>
                      <w:rPr>
                        <w:b/>
                        <w:sz w:val="24"/>
                        <w:szCs w:val="24"/>
                      </w:rPr>
                    </w:pPr>
                    <w:r>
                      <w:rPr>
                        <w:b/>
                        <w:sz w:val="24"/>
                        <w:szCs w:val="24"/>
                      </w:rPr>
                      <w:t>Question</w:t>
                    </w:r>
                  </w:p>
                </w:txbxContent>
              </v:textbox>
            </v:rect>
            <v:rect id="_x0000_s1037" style="position:absolute;left:2340;top:2880;width:2518;height:1800;v-text-anchor:middle">
              <v:textbox style="mso-next-textbox:#_x0000_s1037">
                <w:txbxContent>
                  <w:p w:rsidR="00C544CD" w:rsidRPr="0032136D" w:rsidRDefault="00C544CD" w:rsidP="00FF79E1">
                    <w:pPr>
                      <w:spacing w:after="0" w:line="240" w:lineRule="auto"/>
                      <w:rPr>
                        <w:rFonts w:ascii="Arial" w:hAnsi="Arial" w:cs="Arial"/>
                        <w:szCs w:val="16"/>
                      </w:rPr>
                    </w:pPr>
                    <w:r>
                      <w:rPr>
                        <w:rFonts w:ascii="Arial" w:hAnsi="Arial" w:cs="Arial"/>
                        <w:szCs w:val="16"/>
                      </w:rPr>
                      <w:t>Why is this proposal a good thing to do?</w:t>
                    </w:r>
                  </w:p>
                </w:txbxContent>
              </v:textbox>
            </v:rect>
            <v:rect id="_x0000_s1038" style="position:absolute;left:5040;top:2880;width:4320;height:1800;v-text-anchor:middle">
              <v:textbox style="mso-next-textbox:#_x0000_s1038">
                <w:txbxContent>
                  <w:p w:rsidR="00C544CD" w:rsidRDefault="00C544CD" w:rsidP="00FF79E1">
                    <w:pPr>
                      <w:spacing w:after="0" w:line="240" w:lineRule="auto"/>
                      <w:contextualSpacing/>
                      <w:rPr>
                        <w:rFonts w:ascii="Arial" w:hAnsi="Arial" w:cs="Arial"/>
                        <w:sz w:val="20"/>
                        <w:szCs w:val="20"/>
                      </w:rPr>
                    </w:pPr>
                    <w:r>
                      <w:rPr>
                        <w:rFonts w:ascii="Arial" w:hAnsi="Arial" w:cs="Arial"/>
                        <w:sz w:val="20"/>
                        <w:szCs w:val="20"/>
                      </w:rPr>
                      <w:t>Brief Outline of:</w:t>
                    </w:r>
                  </w:p>
                  <w:p w:rsidR="00C544CD" w:rsidRDefault="00C544CD" w:rsidP="00FF79E1">
                    <w:pPr>
                      <w:pStyle w:val="ListParagraph"/>
                      <w:numPr>
                        <w:ilvl w:val="0"/>
                        <w:numId w:val="27"/>
                      </w:numPr>
                      <w:spacing w:after="0"/>
                      <w:rPr>
                        <w:rFonts w:ascii="Arial" w:hAnsi="Arial" w:cs="Arial"/>
                        <w:sz w:val="20"/>
                        <w:szCs w:val="20"/>
                      </w:rPr>
                    </w:pPr>
                    <w:r>
                      <w:rPr>
                        <w:rFonts w:ascii="Arial" w:hAnsi="Arial" w:cs="Arial"/>
                        <w:sz w:val="20"/>
                        <w:szCs w:val="20"/>
                      </w:rPr>
                      <w:t>Current arrangements</w:t>
                    </w:r>
                  </w:p>
                  <w:p w:rsidR="00C544CD" w:rsidRDefault="00C544CD" w:rsidP="00FF79E1">
                    <w:pPr>
                      <w:pStyle w:val="ListParagraph"/>
                      <w:numPr>
                        <w:ilvl w:val="0"/>
                        <w:numId w:val="27"/>
                      </w:numPr>
                      <w:spacing w:after="0"/>
                      <w:rPr>
                        <w:rFonts w:ascii="Arial" w:hAnsi="Arial" w:cs="Arial"/>
                        <w:sz w:val="20"/>
                        <w:szCs w:val="20"/>
                      </w:rPr>
                    </w:pPr>
                    <w:r>
                      <w:rPr>
                        <w:rFonts w:ascii="Arial" w:hAnsi="Arial" w:cs="Arial"/>
                        <w:sz w:val="20"/>
                        <w:szCs w:val="20"/>
                      </w:rPr>
                      <w:t>Need for change</w:t>
                    </w:r>
                  </w:p>
                  <w:p w:rsidR="00C544CD" w:rsidRDefault="00C544CD" w:rsidP="00FF79E1">
                    <w:pPr>
                      <w:pStyle w:val="ListParagraph"/>
                      <w:numPr>
                        <w:ilvl w:val="0"/>
                        <w:numId w:val="27"/>
                      </w:numPr>
                      <w:spacing w:after="0"/>
                      <w:rPr>
                        <w:rFonts w:ascii="Arial" w:hAnsi="Arial" w:cs="Arial"/>
                        <w:sz w:val="20"/>
                        <w:szCs w:val="20"/>
                      </w:rPr>
                    </w:pPr>
                    <w:r>
                      <w:rPr>
                        <w:rFonts w:ascii="Arial" w:hAnsi="Arial" w:cs="Arial"/>
                        <w:sz w:val="20"/>
                        <w:szCs w:val="20"/>
                      </w:rPr>
                      <w:t>Benefits to be gained</w:t>
                    </w:r>
                  </w:p>
                  <w:p w:rsidR="00C544CD" w:rsidRDefault="00C544CD" w:rsidP="00FF79E1">
                    <w:pPr>
                      <w:pStyle w:val="ListParagraph"/>
                      <w:numPr>
                        <w:ilvl w:val="0"/>
                        <w:numId w:val="27"/>
                      </w:numPr>
                      <w:spacing w:after="0"/>
                      <w:rPr>
                        <w:rFonts w:ascii="Arial" w:hAnsi="Arial" w:cs="Arial"/>
                        <w:sz w:val="20"/>
                        <w:szCs w:val="20"/>
                      </w:rPr>
                    </w:pPr>
                    <w:r>
                      <w:rPr>
                        <w:rFonts w:ascii="Arial" w:hAnsi="Arial" w:cs="Arial"/>
                        <w:sz w:val="20"/>
                        <w:szCs w:val="20"/>
                      </w:rPr>
                      <w:t>Fit with Strategic Investment Priorities</w:t>
                    </w:r>
                  </w:p>
                </w:txbxContent>
              </v:textbox>
            </v:rect>
            <w10:wrap type="topAndBottom"/>
          </v:group>
        </w:pict>
      </w:r>
    </w:p>
    <w:p w:rsidR="00FF79E1" w:rsidRDefault="00FF79E1" w:rsidP="00DD1639">
      <w:pPr>
        <w:pStyle w:val="StandardParagrpah"/>
      </w:pPr>
      <w:r>
        <w:t xml:space="preserve">A compelling rationale for investment should demonstrate that the benefits to be gained are significant in relation to the level of investment required, and that they strongly support </w:t>
      </w:r>
      <w:proofErr w:type="spellStart"/>
      <w:r>
        <w:t>NHSScotland’s</w:t>
      </w:r>
      <w:proofErr w:type="spellEnd"/>
      <w:r>
        <w:t xml:space="preserve"> strategic investment priorities.  If the rationale for investment is unable to demonstrate these two criteria then the proposal may not be considered further.</w:t>
      </w:r>
    </w:p>
    <w:p w:rsidR="00323FA0" w:rsidRDefault="00323FA0" w:rsidP="00DD1639">
      <w:pPr>
        <w:pStyle w:val="StandardParagrpah"/>
      </w:pPr>
      <w:r>
        <w:t>Completion of the Strategic Assessment Template is based on responding to the following questions:</w:t>
      </w:r>
    </w:p>
    <w:p w:rsidR="00323FA0" w:rsidRDefault="003E3F0A" w:rsidP="00DD1639">
      <w:pPr>
        <w:pStyle w:val="Standardnumberbullet"/>
      </w:pPr>
      <w:r>
        <w:t>What are the current arrangements?</w:t>
      </w:r>
    </w:p>
    <w:p w:rsidR="00323FA0" w:rsidRDefault="00323FA0" w:rsidP="00DD1639">
      <w:pPr>
        <w:pStyle w:val="Standardnumberbullet"/>
      </w:pPr>
      <w:r>
        <w:t>What is the need for change?</w:t>
      </w:r>
    </w:p>
    <w:p w:rsidR="00323FA0" w:rsidRDefault="00323FA0" w:rsidP="00DD1639">
      <w:pPr>
        <w:pStyle w:val="Standardnumberbullet"/>
      </w:pPr>
      <w:r>
        <w:t>What benefits will be gained from addressing these needs?</w:t>
      </w:r>
    </w:p>
    <w:p w:rsidR="00323FA0" w:rsidRDefault="00323FA0" w:rsidP="00DD1639">
      <w:pPr>
        <w:pStyle w:val="Standardnumberbullet"/>
      </w:pPr>
      <w:r>
        <w:t xml:space="preserve">How do these benefits link with </w:t>
      </w:r>
      <w:proofErr w:type="spellStart"/>
      <w:r>
        <w:t>NHSScotland’s</w:t>
      </w:r>
      <w:proofErr w:type="spellEnd"/>
      <w:r>
        <w:t xml:space="preserve"> Strategic Investment Priorities?</w:t>
      </w:r>
    </w:p>
    <w:p w:rsidR="0048382B" w:rsidRDefault="00A46B4D" w:rsidP="00DD1639">
      <w:pPr>
        <w:pStyle w:val="StandardParagrpah"/>
      </w:pPr>
      <w:r>
        <w:t xml:space="preserve">The expectation is that the information provided will be high level in nature </w:t>
      </w:r>
      <w:r w:rsidR="00DD6D39">
        <w:t>but formed from a wider understanding and appreciation of the case for change and investment</w:t>
      </w:r>
      <w:r w:rsidR="0048382B">
        <w:t xml:space="preserve"> need.  </w:t>
      </w:r>
      <w:r w:rsidR="00803469">
        <w:t xml:space="preserve">If the proposal </w:t>
      </w:r>
      <w:r w:rsidR="0048382B">
        <w:t xml:space="preserve">gains support for </w:t>
      </w:r>
      <w:r>
        <w:t xml:space="preserve">the development of an Initial Agreement </w:t>
      </w:r>
      <w:r w:rsidR="003E3F0A">
        <w:t>then</w:t>
      </w:r>
      <w:r>
        <w:t xml:space="preserve"> </w:t>
      </w:r>
      <w:r w:rsidR="003E3F0A">
        <w:t xml:space="preserve">at that stage </w:t>
      </w:r>
      <w:r>
        <w:t xml:space="preserve">a more detailed evidence base </w:t>
      </w:r>
      <w:r w:rsidR="003E3F0A">
        <w:t>will be expected</w:t>
      </w:r>
      <w:r w:rsidR="0048382B">
        <w:t>.</w:t>
      </w:r>
    </w:p>
    <w:p w:rsidR="003E3F0A" w:rsidRPr="00DD1639" w:rsidRDefault="003E3F0A" w:rsidP="00DD1639">
      <w:pPr>
        <w:pStyle w:val="Heading2"/>
      </w:pPr>
      <w:r w:rsidRPr="00DD1639">
        <w:t>What are the current arrangements?</w:t>
      </w:r>
    </w:p>
    <w:p w:rsidR="003E3F0A" w:rsidRPr="003E3F0A" w:rsidRDefault="003E3F0A" w:rsidP="00DD1639">
      <w:pPr>
        <w:pStyle w:val="StandardParagrpah"/>
      </w:pPr>
      <w:r>
        <w:t xml:space="preserve">A brief description is required of current arrangements affected by the need for change.  </w:t>
      </w:r>
      <w:r w:rsidR="0048382B">
        <w:t xml:space="preserve">This might consider factors such as the type and scope of service provision </w:t>
      </w:r>
      <w:r w:rsidR="0048382B">
        <w:lastRenderedPageBreak/>
        <w:t>and/or its location, functional size, service providers, or the properties which support this service, etc.</w:t>
      </w:r>
    </w:p>
    <w:p w:rsidR="00E9572B" w:rsidRDefault="003E3F0A" w:rsidP="00DD1639">
      <w:pPr>
        <w:pStyle w:val="Heading2"/>
      </w:pPr>
      <w:r>
        <w:t>What is the n</w:t>
      </w:r>
      <w:r w:rsidR="00E9572B" w:rsidRPr="00D00D00">
        <w:t>eed</w:t>
      </w:r>
      <w:r w:rsidR="00A46B4D">
        <w:t xml:space="preserve"> </w:t>
      </w:r>
      <w:r w:rsidR="00A5470F">
        <w:t xml:space="preserve">for </w:t>
      </w:r>
      <w:r w:rsidRPr="00E0009E">
        <w:t>c</w:t>
      </w:r>
      <w:r w:rsidR="00A5470F" w:rsidRPr="00E0009E">
        <w:t>hange</w:t>
      </w:r>
      <w:r>
        <w:t>?</w:t>
      </w:r>
    </w:p>
    <w:p w:rsidR="0048382B" w:rsidRDefault="00A8091E" w:rsidP="00DD1639">
      <w:pPr>
        <w:pStyle w:val="StandardParagrpah"/>
      </w:pPr>
      <w:r w:rsidRPr="00DD1639">
        <w:t xml:space="preserve">This should </w:t>
      </w:r>
      <w:r w:rsidR="00A5470F" w:rsidRPr="00DD1639">
        <w:t>identify the greatest</w:t>
      </w:r>
      <w:r w:rsidRPr="00DD1639">
        <w:t xml:space="preserve"> needs for change</w:t>
      </w:r>
      <w:r w:rsidR="00A5470F" w:rsidRPr="00DD1639">
        <w:t xml:space="preserve"> driving forward the investment proposal.</w:t>
      </w:r>
      <w:r w:rsidR="0048382B">
        <w:t xml:space="preserve">  </w:t>
      </w:r>
    </w:p>
    <w:p w:rsidR="00A5470F" w:rsidRDefault="00A8091E" w:rsidP="00DD1639">
      <w:pPr>
        <w:pStyle w:val="StandardParagrpah"/>
      </w:pPr>
      <w:r>
        <w:t xml:space="preserve">A </w:t>
      </w:r>
      <w:r w:rsidR="00A5470F">
        <w:t xml:space="preserve">need for change can relate to </w:t>
      </w:r>
      <w:r w:rsidR="0048382B">
        <w:t xml:space="preserve">an opportunity to provide significant outcomes when compared to existing arrangements, </w:t>
      </w:r>
      <w:r w:rsidR="00A5470F">
        <w:t xml:space="preserve">overcoming a problem, </w:t>
      </w:r>
      <w:r w:rsidR="0048382B">
        <w:t xml:space="preserve">or </w:t>
      </w:r>
      <w:r w:rsidR="00A5470F">
        <w:t xml:space="preserve">responding to </w:t>
      </w:r>
      <w:r w:rsidR="0048382B">
        <w:t xml:space="preserve">any other </w:t>
      </w:r>
      <w:r w:rsidR="00A5470F">
        <w:t>driver for change</w:t>
      </w:r>
      <w:r w:rsidR="0048382B">
        <w:t>.</w:t>
      </w:r>
    </w:p>
    <w:p w:rsidR="008701A7" w:rsidRDefault="008701A7" w:rsidP="00DD1639">
      <w:pPr>
        <w:pStyle w:val="StandardParagrpah"/>
      </w:pPr>
      <w:r>
        <w:t xml:space="preserve">Examples of drivers influencing </w:t>
      </w:r>
      <w:r w:rsidR="00A5470F">
        <w:t xml:space="preserve">the </w:t>
      </w:r>
      <w:r>
        <w:t>need</w:t>
      </w:r>
      <w:r w:rsidR="00A5470F">
        <w:t xml:space="preserve"> for change might</w:t>
      </w:r>
      <w:r>
        <w:t xml:space="preserve"> </w:t>
      </w:r>
      <w:r w:rsidR="00063C22">
        <w:t>include:</w:t>
      </w:r>
    </w:p>
    <w:p w:rsidR="0048382B" w:rsidRDefault="0048382B" w:rsidP="00DD1639">
      <w:pPr>
        <w:pStyle w:val="Standardbullet"/>
      </w:pPr>
      <w:r>
        <w:t>Responding to public opinion / concerns about a service.</w:t>
      </w:r>
    </w:p>
    <w:p w:rsidR="008701A7" w:rsidRDefault="008701A7" w:rsidP="00DD1639">
      <w:pPr>
        <w:pStyle w:val="Standardbullet"/>
      </w:pPr>
      <w:r>
        <w:t xml:space="preserve">The organisation needing to </w:t>
      </w:r>
      <w:r w:rsidR="0048382B">
        <w:t xml:space="preserve">enhance its service provision or performance. </w:t>
      </w:r>
    </w:p>
    <w:p w:rsidR="008701A7" w:rsidRDefault="008701A7" w:rsidP="00DD1639">
      <w:pPr>
        <w:pStyle w:val="Standardbullet"/>
      </w:pPr>
      <w:r>
        <w:t xml:space="preserve">The organisation needing to change </w:t>
      </w:r>
      <w:r w:rsidR="0048382B">
        <w:t xml:space="preserve">in order </w:t>
      </w:r>
      <w:r>
        <w:t xml:space="preserve">to maintain </w:t>
      </w:r>
      <w:r w:rsidR="000C275A">
        <w:t xml:space="preserve">the quality of </w:t>
      </w:r>
      <w:r>
        <w:t>service delivery or comply with regulatory requirements</w:t>
      </w:r>
      <w:r w:rsidR="00063C22">
        <w:t>.</w:t>
      </w:r>
    </w:p>
    <w:p w:rsidR="0048382B" w:rsidRDefault="0048382B" w:rsidP="00DD1639">
      <w:pPr>
        <w:pStyle w:val="Standardbullet"/>
      </w:pPr>
      <w:r>
        <w:t>Concerns regarding the effectiveness of assets to support modern service delivery.</w:t>
      </w:r>
    </w:p>
    <w:p w:rsidR="003E3F0A" w:rsidRDefault="000C275A" w:rsidP="00DD1639">
      <w:pPr>
        <w:pStyle w:val="Standardbullet"/>
      </w:pPr>
      <w:r>
        <w:t>N</w:t>
      </w:r>
      <w:r w:rsidR="003E3F0A">
        <w:t xml:space="preserve">eeding to respond to </w:t>
      </w:r>
      <w:proofErr w:type="spellStart"/>
      <w:r w:rsidR="00E0009E">
        <w:t>NHSScotland’s</w:t>
      </w:r>
      <w:proofErr w:type="spellEnd"/>
      <w:r w:rsidR="00E0009E">
        <w:t xml:space="preserve"> </w:t>
      </w:r>
      <w:r>
        <w:t xml:space="preserve">policy agenda and its </w:t>
      </w:r>
      <w:r w:rsidR="00E0009E">
        <w:t>triple aim of</w:t>
      </w:r>
      <w:r w:rsidR="00EB35D9">
        <w:t xml:space="preserve"> improving quality of care,</w:t>
      </w:r>
      <w:r w:rsidR="003E3F0A">
        <w:t xml:space="preserve"> health of the population, and value &amp; sustainability.</w:t>
      </w:r>
    </w:p>
    <w:p w:rsidR="00063C22" w:rsidRPr="00063C22" w:rsidRDefault="00063C22" w:rsidP="00DD1639">
      <w:pPr>
        <w:pStyle w:val="StandardParagrpah"/>
      </w:pPr>
      <w:r>
        <w:t xml:space="preserve">At Strategic Assessment stage </w:t>
      </w:r>
      <w:r w:rsidR="003E3F0A">
        <w:t>no more than f</w:t>
      </w:r>
      <w:r>
        <w:t xml:space="preserve">ive </w:t>
      </w:r>
      <w:r w:rsidR="00393F41">
        <w:t xml:space="preserve">drivers </w:t>
      </w:r>
      <w:r w:rsidR="003D67C0">
        <w:t xml:space="preserve">for </w:t>
      </w:r>
      <w:r>
        <w:t xml:space="preserve">change should be </w:t>
      </w:r>
      <w:r w:rsidR="00393F41">
        <w:t xml:space="preserve">short-listed and </w:t>
      </w:r>
      <w:r>
        <w:t>described</w:t>
      </w:r>
      <w:r w:rsidR="00393F41">
        <w:t>.</w:t>
      </w:r>
      <w:r>
        <w:t xml:space="preserve">  </w:t>
      </w:r>
      <w:r w:rsidR="00803469">
        <w:t>More detailed e</w:t>
      </w:r>
      <w:r>
        <w:t>vidence of the cause and effect of th</w:t>
      </w:r>
      <w:r w:rsidR="00EB35D9">
        <w:t xml:space="preserve">ose </w:t>
      </w:r>
      <w:r w:rsidR="00393F41">
        <w:t>needs</w:t>
      </w:r>
      <w:r w:rsidR="00803469">
        <w:t xml:space="preserve"> </w:t>
      </w:r>
      <w:proofErr w:type="gramStart"/>
      <w:r w:rsidR="00803469">
        <w:t>is</w:t>
      </w:r>
      <w:proofErr w:type="gramEnd"/>
      <w:r>
        <w:t xml:space="preserve"> not expected until Initial Agreement stage.</w:t>
      </w:r>
    </w:p>
    <w:p w:rsidR="00D00D00" w:rsidRPr="003D67C0" w:rsidRDefault="003D67C0" w:rsidP="00DD1639">
      <w:pPr>
        <w:pStyle w:val="Heading2"/>
      </w:pPr>
      <w:r w:rsidRPr="003D67C0">
        <w:t xml:space="preserve">What benefits will be gained from addressing these needs? </w:t>
      </w:r>
    </w:p>
    <w:p w:rsidR="00063C22" w:rsidRDefault="00393F41" w:rsidP="00DD1639">
      <w:pPr>
        <w:pStyle w:val="StandardParagrpah"/>
      </w:pPr>
      <w:r>
        <w:t xml:space="preserve">Up to </w:t>
      </w:r>
      <w:r w:rsidR="00063C22">
        <w:t xml:space="preserve">seven key benefits that will flow if the need </w:t>
      </w:r>
      <w:r w:rsidR="006071B1">
        <w:t xml:space="preserve">for change </w:t>
      </w:r>
      <w:r w:rsidR="00063C22">
        <w:t xml:space="preserve">is </w:t>
      </w:r>
      <w:r w:rsidR="006071B1">
        <w:t>addressed</w:t>
      </w:r>
      <w:r>
        <w:t xml:space="preserve"> should be short-listed and described on the Strategic Assessment</w:t>
      </w:r>
      <w:r w:rsidR="00063C22">
        <w:t xml:space="preserve">.  </w:t>
      </w:r>
      <w:r>
        <w:t xml:space="preserve">These </w:t>
      </w:r>
      <w:r w:rsidR="00063C22">
        <w:t>should be sufficient to demonstrate that the benefits to be gained are significant in relation to the level of investment required</w:t>
      </w:r>
      <w:r>
        <w:t xml:space="preserve">.  Any </w:t>
      </w:r>
      <w:proofErr w:type="spellStart"/>
      <w:r>
        <w:t>dis</w:t>
      </w:r>
      <w:proofErr w:type="spellEnd"/>
      <w:r>
        <w:t>-benefits may</w:t>
      </w:r>
      <w:r w:rsidR="00B903C2">
        <w:t xml:space="preserve"> also be noted.</w:t>
      </w:r>
    </w:p>
    <w:p w:rsidR="00B43B0F" w:rsidRDefault="00B43B0F">
      <w:pPr>
        <w:rPr>
          <w:rFonts w:ascii="Arial" w:hAnsi="Arial" w:cs="Arial"/>
          <w:sz w:val="24"/>
        </w:rPr>
      </w:pPr>
      <w:r>
        <w:br w:type="page"/>
      </w:r>
    </w:p>
    <w:p w:rsidR="00393F41" w:rsidRDefault="00393F41" w:rsidP="00DD1639">
      <w:pPr>
        <w:pStyle w:val="StandardParagrpah"/>
      </w:pPr>
      <w:r>
        <w:lastRenderedPageBreak/>
        <w:t>Examples of the types of benefits to be considered include:</w:t>
      </w:r>
    </w:p>
    <w:p w:rsidR="00393F41" w:rsidRDefault="00393F41" w:rsidP="00393F41">
      <w:pPr>
        <w:pStyle w:val="Standardbullet"/>
      </w:pPr>
      <w:r>
        <w:t>Those which meet public expectations for the service.</w:t>
      </w:r>
    </w:p>
    <w:p w:rsidR="00393F41" w:rsidRDefault="00393F41" w:rsidP="00393F41">
      <w:pPr>
        <w:pStyle w:val="Standardbullet"/>
      </w:pPr>
      <w:r>
        <w:t>Those which arise from directly addressing the need for change.</w:t>
      </w:r>
    </w:p>
    <w:p w:rsidR="00393F41" w:rsidRDefault="00393F41" w:rsidP="00393F41">
      <w:pPr>
        <w:pStyle w:val="Standardbullet"/>
      </w:pPr>
      <w:r>
        <w:t xml:space="preserve">Those which support national outcomes – examples of </w:t>
      </w:r>
      <w:r w:rsidR="00046E53">
        <w:t>which can be found in Appendix B</w:t>
      </w:r>
      <w:r>
        <w:t>.</w:t>
      </w:r>
    </w:p>
    <w:p w:rsidR="00393F41" w:rsidRDefault="00393F41" w:rsidP="00393F41">
      <w:pPr>
        <w:pStyle w:val="Standardbullet"/>
      </w:pPr>
      <w:r>
        <w:t>Those which might deliver wider public and community benefits.</w:t>
      </w:r>
    </w:p>
    <w:p w:rsidR="006071B1" w:rsidRDefault="00B903C2" w:rsidP="00DD1639">
      <w:pPr>
        <w:pStyle w:val="StandardParagrpah"/>
      </w:pPr>
      <w:r>
        <w:t>Lin</w:t>
      </w:r>
      <w:r w:rsidR="003D67C0">
        <w:t>es</w:t>
      </w:r>
      <w:r>
        <w:t xml:space="preserve"> should </w:t>
      </w:r>
      <w:r w:rsidR="006071B1">
        <w:t xml:space="preserve">also </w:t>
      </w:r>
      <w:r>
        <w:t xml:space="preserve">be drawn on the </w:t>
      </w:r>
      <w:r w:rsidR="003D67C0">
        <w:t>Strategic Assessment Template</w:t>
      </w:r>
      <w:r>
        <w:t xml:space="preserve"> </w:t>
      </w:r>
      <w:r w:rsidR="003D67C0">
        <w:t xml:space="preserve">showing links </w:t>
      </w:r>
      <w:r>
        <w:t xml:space="preserve">between each need </w:t>
      </w:r>
      <w:r w:rsidR="006071B1">
        <w:t xml:space="preserve">for change </w:t>
      </w:r>
      <w:r>
        <w:t xml:space="preserve">and </w:t>
      </w:r>
      <w:r w:rsidR="006071B1">
        <w:t xml:space="preserve">the </w:t>
      </w:r>
      <w:r>
        <w:t xml:space="preserve">responding benefits to be gained from </w:t>
      </w:r>
      <w:r w:rsidR="006071B1">
        <w:t xml:space="preserve">addressing that </w:t>
      </w:r>
      <w:r>
        <w:t>need.</w:t>
      </w:r>
    </w:p>
    <w:p w:rsidR="00E61176" w:rsidRDefault="00393F41" w:rsidP="00DD1639">
      <w:pPr>
        <w:pStyle w:val="StandardParagrpah"/>
      </w:pPr>
      <w:r>
        <w:t>Details of how these demonstrable</w:t>
      </w:r>
      <w:r w:rsidR="00D6312F">
        <w:t xml:space="preserve"> benefits will be </w:t>
      </w:r>
      <w:r>
        <w:t>identified</w:t>
      </w:r>
      <w:r w:rsidR="00D6312F">
        <w:t xml:space="preserve"> are </w:t>
      </w:r>
      <w:r w:rsidR="006071B1">
        <w:t>expected at Initial Agreement stage.</w:t>
      </w:r>
      <w:r w:rsidR="00B903C2">
        <w:t xml:space="preserve"> </w:t>
      </w:r>
    </w:p>
    <w:p w:rsidR="00EB35D9" w:rsidRDefault="00EB35D9" w:rsidP="00DD1639">
      <w:pPr>
        <w:pStyle w:val="Heading2"/>
      </w:pPr>
      <w:r>
        <w:t xml:space="preserve">How do these benefits link to </w:t>
      </w:r>
      <w:proofErr w:type="spellStart"/>
      <w:r>
        <w:t>NHSScotland’s</w:t>
      </w:r>
      <w:proofErr w:type="spellEnd"/>
      <w:r>
        <w:t xml:space="preserve"> Strategic Investment Priorities?</w:t>
      </w:r>
    </w:p>
    <w:p w:rsidR="009309BB" w:rsidRDefault="00B903C2" w:rsidP="009309BB">
      <w:pPr>
        <w:pStyle w:val="StandardParagrpah"/>
      </w:pPr>
      <w:r>
        <w:t xml:space="preserve">The </w:t>
      </w:r>
      <w:r w:rsidR="00B41D46">
        <w:t>Strategic Assessment Template</w:t>
      </w:r>
      <w:r w:rsidR="007857A6">
        <w:t xml:space="preserve"> is</w:t>
      </w:r>
      <w:r>
        <w:t xml:space="preserve"> </w:t>
      </w:r>
      <w:r w:rsidR="007857A6">
        <w:t xml:space="preserve">also to </w:t>
      </w:r>
      <w:r>
        <w:t>be us</w:t>
      </w:r>
      <w:r w:rsidR="00CD3AB6">
        <w:t>ed to map</w:t>
      </w:r>
      <w:r w:rsidR="00B41D46">
        <w:t xml:space="preserve"> links between the</w:t>
      </w:r>
      <w:r w:rsidR="002944BA">
        <w:t xml:space="preserve"> proposal’s </w:t>
      </w:r>
      <w:r>
        <w:t xml:space="preserve">expected benefits and </w:t>
      </w:r>
      <w:proofErr w:type="spellStart"/>
      <w:r>
        <w:t>NHSScotland’s</w:t>
      </w:r>
      <w:proofErr w:type="spellEnd"/>
      <w:r>
        <w:t xml:space="preserve"> strategic </w:t>
      </w:r>
      <w:r w:rsidR="00B41D46">
        <w:t xml:space="preserve">investment </w:t>
      </w:r>
      <w:r>
        <w:t xml:space="preserve">priorities.  This will help to </w:t>
      </w:r>
      <w:r w:rsidR="00B41D46">
        <w:t xml:space="preserve">explain </w:t>
      </w:r>
      <w:r w:rsidR="007857A6">
        <w:t>the importance of this proposal and why it should be considered a priority for investment.</w:t>
      </w:r>
      <w:r w:rsidR="00046E53">
        <w:t xml:space="preserve">  </w:t>
      </w:r>
      <w:r w:rsidR="009309BB">
        <w:t>Further information on the scope and definition of each Strategic Investment Pri</w:t>
      </w:r>
      <w:r w:rsidR="00046E53">
        <w:t>ority is available in Appendix B</w:t>
      </w:r>
      <w:r w:rsidR="009309BB">
        <w:t>.</w:t>
      </w:r>
    </w:p>
    <w:p w:rsidR="00CD3AB6" w:rsidRDefault="00CD3AB6" w:rsidP="00DD1639">
      <w:pPr>
        <w:pStyle w:val="StandardParagrpah"/>
      </w:pPr>
      <w:r>
        <w:t>Each strategic investment priority should be scored from a range of 1 - 5 for the proposal’s potential to deliver benefits against this priority.  This process needs to align with the following score guide:</w:t>
      </w:r>
    </w:p>
    <w:tbl>
      <w:tblPr>
        <w:tblStyle w:val="TableGrid"/>
        <w:tblW w:w="0" w:type="auto"/>
        <w:tblInd w:w="250" w:type="dxa"/>
        <w:tblBorders>
          <w:left w:val="none" w:sz="0" w:space="0" w:color="auto"/>
          <w:right w:val="none" w:sz="0" w:space="0" w:color="auto"/>
          <w:insideV w:val="none" w:sz="0" w:space="0" w:color="auto"/>
        </w:tblBorders>
        <w:tblLook w:val="04A0"/>
      </w:tblPr>
      <w:tblGrid>
        <w:gridCol w:w="2552"/>
        <w:gridCol w:w="6440"/>
      </w:tblGrid>
      <w:tr w:rsidR="00CD3AB6" w:rsidTr="009309BB">
        <w:tc>
          <w:tcPr>
            <w:tcW w:w="2552" w:type="dxa"/>
          </w:tcPr>
          <w:p w:rsidR="00CD3AB6" w:rsidRDefault="00CD3AB6" w:rsidP="00CD3AB6">
            <w:pPr>
              <w:pStyle w:val="StandardParagrpah"/>
              <w:spacing w:before="120" w:after="120" w:line="240" w:lineRule="auto"/>
            </w:pPr>
            <w:r>
              <w:t>Score 5: Substantial</w:t>
            </w:r>
          </w:p>
        </w:tc>
        <w:tc>
          <w:tcPr>
            <w:tcW w:w="6440" w:type="dxa"/>
          </w:tcPr>
          <w:p w:rsidR="00CD3AB6" w:rsidRDefault="00CD3AB6" w:rsidP="00CD3AB6">
            <w:pPr>
              <w:pStyle w:val="StandardParagrpah"/>
              <w:spacing w:before="120" w:after="120" w:line="240" w:lineRule="auto"/>
            </w:pPr>
            <w:r>
              <w:t>Significant benefits to be delivered against this priority.</w:t>
            </w:r>
          </w:p>
        </w:tc>
      </w:tr>
      <w:tr w:rsidR="00CD3AB6" w:rsidTr="009309BB">
        <w:tc>
          <w:tcPr>
            <w:tcW w:w="2552" w:type="dxa"/>
          </w:tcPr>
          <w:p w:rsidR="00CD3AB6" w:rsidRDefault="00CD3AB6" w:rsidP="00CD3AB6">
            <w:pPr>
              <w:pStyle w:val="StandardParagrpah"/>
              <w:spacing w:before="120" w:after="120" w:line="240" w:lineRule="auto"/>
            </w:pPr>
            <w:r>
              <w:t>Score 4:</w:t>
            </w:r>
          </w:p>
        </w:tc>
        <w:tc>
          <w:tcPr>
            <w:tcW w:w="6440" w:type="dxa"/>
          </w:tcPr>
          <w:p w:rsidR="00CD3AB6" w:rsidRDefault="00CD3AB6" w:rsidP="00CD3AB6">
            <w:pPr>
              <w:pStyle w:val="StandardParagrpah"/>
              <w:spacing w:before="120" w:after="120" w:line="240" w:lineRule="auto"/>
            </w:pPr>
            <w:r>
              <w:t>In between 5 and 3.</w:t>
            </w:r>
          </w:p>
        </w:tc>
      </w:tr>
      <w:tr w:rsidR="00CD3AB6" w:rsidTr="009309BB">
        <w:tc>
          <w:tcPr>
            <w:tcW w:w="2552" w:type="dxa"/>
          </w:tcPr>
          <w:p w:rsidR="00CD3AB6" w:rsidRDefault="00CD3AB6" w:rsidP="00CD3AB6">
            <w:pPr>
              <w:pStyle w:val="StandardParagrpah"/>
              <w:spacing w:before="120" w:after="120" w:line="240" w:lineRule="auto"/>
            </w:pPr>
            <w:r>
              <w:t>Score 3:  Moderate</w:t>
            </w:r>
          </w:p>
        </w:tc>
        <w:tc>
          <w:tcPr>
            <w:tcW w:w="6440" w:type="dxa"/>
          </w:tcPr>
          <w:p w:rsidR="00CD3AB6" w:rsidRDefault="00CD3AB6" w:rsidP="00CD3AB6">
            <w:pPr>
              <w:pStyle w:val="StandardParagrpah"/>
              <w:spacing w:before="120" w:after="120" w:line="240" w:lineRule="auto"/>
            </w:pPr>
            <w:r>
              <w:t>Reasonable benefits to be delivered against this priority.</w:t>
            </w:r>
          </w:p>
        </w:tc>
      </w:tr>
      <w:tr w:rsidR="00CD3AB6" w:rsidTr="009309BB">
        <w:tc>
          <w:tcPr>
            <w:tcW w:w="2552" w:type="dxa"/>
          </w:tcPr>
          <w:p w:rsidR="00CD3AB6" w:rsidRDefault="00CD3AB6" w:rsidP="00CD3AB6">
            <w:pPr>
              <w:pStyle w:val="StandardParagrpah"/>
              <w:spacing w:before="120" w:after="120" w:line="240" w:lineRule="auto"/>
            </w:pPr>
            <w:r>
              <w:t>Score 2:</w:t>
            </w:r>
          </w:p>
        </w:tc>
        <w:tc>
          <w:tcPr>
            <w:tcW w:w="6440" w:type="dxa"/>
          </w:tcPr>
          <w:p w:rsidR="00CD3AB6" w:rsidRDefault="00CD3AB6" w:rsidP="00CD3AB6">
            <w:pPr>
              <w:pStyle w:val="StandardParagrpah"/>
              <w:spacing w:before="120" w:after="120" w:line="240" w:lineRule="auto"/>
            </w:pPr>
            <w:r>
              <w:t>In between 3 and 1.</w:t>
            </w:r>
          </w:p>
        </w:tc>
      </w:tr>
      <w:tr w:rsidR="00CD3AB6" w:rsidTr="009309BB">
        <w:tc>
          <w:tcPr>
            <w:tcW w:w="2552" w:type="dxa"/>
          </w:tcPr>
          <w:p w:rsidR="00CD3AB6" w:rsidRDefault="00CD3AB6" w:rsidP="00CD3AB6">
            <w:pPr>
              <w:pStyle w:val="StandardParagrpah"/>
              <w:spacing w:before="120" w:after="120" w:line="240" w:lineRule="auto"/>
            </w:pPr>
            <w:r>
              <w:t>Score 1:  Negligible</w:t>
            </w:r>
          </w:p>
        </w:tc>
        <w:tc>
          <w:tcPr>
            <w:tcW w:w="6440" w:type="dxa"/>
          </w:tcPr>
          <w:p w:rsidR="00CD3AB6" w:rsidRDefault="00CD3AB6" w:rsidP="00CD3AB6">
            <w:pPr>
              <w:pStyle w:val="StandardParagrpah"/>
              <w:spacing w:before="120" w:after="120" w:line="240" w:lineRule="auto"/>
            </w:pPr>
            <w:r>
              <w:t>Small level of benefits to be delivered against this priority.</w:t>
            </w:r>
          </w:p>
        </w:tc>
      </w:tr>
    </w:tbl>
    <w:p w:rsidR="00CD3AB6" w:rsidRDefault="00CD3AB6" w:rsidP="00CD3AB6">
      <w:pPr>
        <w:pStyle w:val="NoSpacing"/>
      </w:pPr>
    </w:p>
    <w:p w:rsidR="00CD3AB6" w:rsidRDefault="00CD3AB6" w:rsidP="00DD1639">
      <w:pPr>
        <w:pStyle w:val="StandardParagrpah"/>
      </w:pPr>
      <w:r>
        <w:t xml:space="preserve">The ‘Total Score’ on the template is to be gathered from the Capital Planning System </w:t>
      </w:r>
      <w:r w:rsidR="009309BB">
        <w:t xml:space="preserve">(CPS) </w:t>
      </w:r>
      <w:r>
        <w:t>once the proposal has been created on the system and the individual prioritisation scores entered.  This will create a total score which is different from the sum of the individual scores due to inherent weighting of the strategic i</w:t>
      </w:r>
      <w:r w:rsidR="009309BB">
        <w:t>nvestment priorities in the CPS.</w:t>
      </w:r>
      <w:r>
        <w:t xml:space="preserve"> </w:t>
      </w:r>
    </w:p>
    <w:p w:rsidR="00393F41" w:rsidRDefault="009309BB" w:rsidP="009309BB">
      <w:pPr>
        <w:pStyle w:val="StandardParagrpah"/>
        <w:rPr>
          <w:rFonts w:eastAsiaTheme="majorEastAsia" w:cstheme="majorBidi"/>
          <w:b/>
          <w:bCs/>
          <w:color w:val="000000" w:themeColor="text1"/>
          <w:sz w:val="28"/>
          <w:szCs w:val="28"/>
        </w:rPr>
      </w:pPr>
      <w:r>
        <w:t>A prioritised list of Strategic Assessment proposals is to be included in the Board’s Property &amp; Asset Management Strategy.  Further information is available in this related guidance.</w:t>
      </w:r>
      <w:r w:rsidR="00393F41">
        <w:br w:type="page"/>
      </w:r>
    </w:p>
    <w:p w:rsidR="00AD6D01" w:rsidRPr="00086914" w:rsidRDefault="00AE7BAB" w:rsidP="00086914">
      <w:pPr>
        <w:pStyle w:val="Heading1"/>
      </w:pPr>
      <w:r>
        <w:rPr>
          <w:noProof/>
          <w:lang w:eastAsia="en-GB"/>
        </w:rPr>
        <w:lastRenderedPageBreak/>
        <w:pict>
          <v:group id="_x0000_s1045" style="position:absolute;left:0;text-align:left;margin-left:24.5pt;margin-top:31.55pt;width:351pt;height:126pt;z-index:251681792" coordorigin="1880,8460" coordsize="7020,2520">
            <v:rect id="_x0000_s1040" style="position:absolute;left:4520;top:8460;width:4380;height:540;v-text-anchor:middle" o:regroupid="1" fillcolor="#e36c0a [2409]">
              <v:textbox style="mso-next-textbox:#_x0000_s1040">
                <w:txbxContent>
                  <w:p w:rsidR="00C544CD" w:rsidRPr="004E0BCE" w:rsidRDefault="00C544CD" w:rsidP="00017496">
                    <w:pPr>
                      <w:spacing w:after="0" w:line="240" w:lineRule="auto"/>
                      <w:jc w:val="center"/>
                      <w:rPr>
                        <w:b/>
                        <w:sz w:val="24"/>
                        <w:szCs w:val="24"/>
                      </w:rPr>
                    </w:pPr>
                    <w:r>
                      <w:rPr>
                        <w:b/>
                        <w:sz w:val="24"/>
                        <w:szCs w:val="24"/>
                      </w:rPr>
                      <w:t>Response</w:t>
                    </w:r>
                  </w:p>
                </w:txbxContent>
              </v:textbox>
            </v:rect>
            <v:rect id="_x0000_s1041" style="position:absolute;left:1880;top:8460;width:2420;height:540;v-text-anchor:middle" o:regroupid="1" fillcolor="#e36c0a [2409]">
              <v:textbox style="mso-next-textbox:#_x0000_s1041">
                <w:txbxContent>
                  <w:p w:rsidR="00C544CD" w:rsidRPr="004E0BCE" w:rsidRDefault="00C544CD" w:rsidP="00017496">
                    <w:pPr>
                      <w:spacing w:after="0" w:line="240" w:lineRule="auto"/>
                      <w:jc w:val="center"/>
                      <w:rPr>
                        <w:b/>
                        <w:sz w:val="24"/>
                        <w:szCs w:val="24"/>
                      </w:rPr>
                    </w:pPr>
                    <w:r>
                      <w:rPr>
                        <w:b/>
                        <w:sz w:val="24"/>
                        <w:szCs w:val="24"/>
                      </w:rPr>
                      <w:t>Question</w:t>
                    </w:r>
                  </w:p>
                </w:txbxContent>
              </v:textbox>
            </v:rect>
            <v:rect id="_x0000_s1042" style="position:absolute;left:1880;top:9180;width:2420;height:1800;v-text-anchor:middle" o:regroupid="1">
              <v:textbox style="mso-next-textbox:#_x0000_s1042">
                <w:txbxContent>
                  <w:p w:rsidR="00C544CD" w:rsidRPr="0032136D" w:rsidRDefault="00C544CD" w:rsidP="00017496">
                    <w:pPr>
                      <w:spacing w:after="0" w:line="240" w:lineRule="auto"/>
                      <w:rPr>
                        <w:rFonts w:ascii="Arial" w:hAnsi="Arial" w:cs="Arial"/>
                        <w:szCs w:val="16"/>
                      </w:rPr>
                    </w:pPr>
                    <w:r>
                      <w:rPr>
                        <w:rFonts w:ascii="Arial" w:hAnsi="Arial" w:cs="Arial"/>
                        <w:szCs w:val="16"/>
                      </w:rPr>
                      <w:t>What solution is being considered?</w:t>
                    </w:r>
                  </w:p>
                </w:txbxContent>
              </v:textbox>
            </v:rect>
            <v:rect id="_x0000_s1043" style="position:absolute;left:4520;top:9180;width:4380;height:1800;v-text-anchor:middle" o:regroupid="1">
              <v:textbox style="mso-next-textbox:#_x0000_s1043">
                <w:txbxContent>
                  <w:p w:rsidR="00C544CD" w:rsidRDefault="00C544CD" w:rsidP="00017496">
                    <w:pPr>
                      <w:spacing w:after="0" w:line="240" w:lineRule="auto"/>
                      <w:contextualSpacing/>
                      <w:rPr>
                        <w:rFonts w:ascii="Arial" w:hAnsi="Arial" w:cs="Arial"/>
                        <w:sz w:val="20"/>
                        <w:szCs w:val="20"/>
                      </w:rPr>
                    </w:pPr>
                    <w:r>
                      <w:rPr>
                        <w:rFonts w:ascii="Arial" w:hAnsi="Arial" w:cs="Arial"/>
                        <w:sz w:val="20"/>
                        <w:szCs w:val="20"/>
                      </w:rPr>
                      <w:t>Early thoughts on:</w:t>
                    </w:r>
                  </w:p>
                  <w:p w:rsidR="00C544CD" w:rsidRDefault="00C544CD" w:rsidP="00017496">
                    <w:pPr>
                      <w:pStyle w:val="ListParagraph"/>
                      <w:numPr>
                        <w:ilvl w:val="0"/>
                        <w:numId w:val="27"/>
                      </w:numPr>
                      <w:spacing w:after="0"/>
                      <w:rPr>
                        <w:rFonts w:ascii="Arial" w:hAnsi="Arial" w:cs="Arial"/>
                        <w:sz w:val="20"/>
                        <w:szCs w:val="20"/>
                      </w:rPr>
                    </w:pPr>
                    <w:r>
                      <w:rPr>
                        <w:rFonts w:ascii="Arial" w:hAnsi="Arial" w:cs="Arial"/>
                        <w:sz w:val="20"/>
                        <w:szCs w:val="20"/>
                      </w:rPr>
                      <w:t>Scope of services covered</w:t>
                    </w:r>
                  </w:p>
                  <w:p w:rsidR="00C544CD" w:rsidRDefault="00C544CD" w:rsidP="00017496">
                    <w:pPr>
                      <w:pStyle w:val="ListParagraph"/>
                      <w:numPr>
                        <w:ilvl w:val="0"/>
                        <w:numId w:val="27"/>
                      </w:numPr>
                      <w:spacing w:after="0"/>
                      <w:rPr>
                        <w:rFonts w:ascii="Arial" w:hAnsi="Arial" w:cs="Arial"/>
                        <w:sz w:val="20"/>
                        <w:szCs w:val="20"/>
                      </w:rPr>
                    </w:pPr>
                    <w:r>
                      <w:rPr>
                        <w:rFonts w:ascii="Arial" w:hAnsi="Arial" w:cs="Arial"/>
                        <w:sz w:val="20"/>
                        <w:szCs w:val="20"/>
                      </w:rPr>
                      <w:t>Proposed service arrangement</w:t>
                    </w:r>
                  </w:p>
                  <w:p w:rsidR="00C544CD" w:rsidRDefault="00C544CD" w:rsidP="00017496">
                    <w:pPr>
                      <w:pStyle w:val="ListParagraph"/>
                      <w:numPr>
                        <w:ilvl w:val="0"/>
                        <w:numId w:val="27"/>
                      </w:numPr>
                      <w:spacing w:after="0"/>
                      <w:rPr>
                        <w:rFonts w:ascii="Arial" w:hAnsi="Arial" w:cs="Arial"/>
                        <w:sz w:val="20"/>
                        <w:szCs w:val="20"/>
                      </w:rPr>
                    </w:pPr>
                    <w:r>
                      <w:rPr>
                        <w:rFonts w:ascii="Arial" w:hAnsi="Arial" w:cs="Arial"/>
                        <w:sz w:val="20"/>
                        <w:szCs w:val="20"/>
                      </w:rPr>
                      <w:t>Service providers</w:t>
                    </w:r>
                  </w:p>
                  <w:p w:rsidR="00C544CD" w:rsidRDefault="00C544CD" w:rsidP="00017496">
                    <w:pPr>
                      <w:pStyle w:val="ListParagraph"/>
                      <w:numPr>
                        <w:ilvl w:val="0"/>
                        <w:numId w:val="27"/>
                      </w:numPr>
                      <w:spacing w:after="0"/>
                      <w:rPr>
                        <w:rFonts w:ascii="Arial" w:hAnsi="Arial" w:cs="Arial"/>
                        <w:sz w:val="20"/>
                        <w:szCs w:val="20"/>
                      </w:rPr>
                    </w:pPr>
                    <w:r>
                      <w:rPr>
                        <w:rFonts w:ascii="Arial" w:hAnsi="Arial" w:cs="Arial"/>
                        <w:sz w:val="20"/>
                        <w:szCs w:val="20"/>
                      </w:rPr>
                      <w:t>Impact on assets</w:t>
                    </w:r>
                  </w:p>
                  <w:p w:rsidR="00C544CD" w:rsidRPr="004F10D7" w:rsidRDefault="00C544CD" w:rsidP="00017496">
                    <w:pPr>
                      <w:pStyle w:val="ListParagraph"/>
                      <w:numPr>
                        <w:ilvl w:val="0"/>
                        <w:numId w:val="27"/>
                      </w:numPr>
                      <w:spacing w:after="0"/>
                      <w:rPr>
                        <w:rFonts w:ascii="Arial" w:hAnsi="Arial" w:cs="Arial"/>
                        <w:sz w:val="20"/>
                        <w:szCs w:val="20"/>
                      </w:rPr>
                    </w:pPr>
                    <w:r>
                      <w:rPr>
                        <w:rFonts w:ascii="Arial" w:hAnsi="Arial" w:cs="Arial"/>
                        <w:sz w:val="20"/>
                        <w:szCs w:val="20"/>
                      </w:rPr>
                      <w:t>Value &amp; procurement</w:t>
                    </w:r>
                  </w:p>
                </w:txbxContent>
              </v:textbox>
            </v:rect>
            <w10:wrap type="topAndBottom"/>
          </v:group>
        </w:pict>
      </w:r>
      <w:r w:rsidR="00017496" w:rsidRPr="00086914">
        <w:t>What s</w:t>
      </w:r>
      <w:r w:rsidR="006071B1" w:rsidRPr="00086914">
        <w:t>olution</w:t>
      </w:r>
      <w:r w:rsidR="002944BA" w:rsidRPr="00086914">
        <w:t xml:space="preserve"> </w:t>
      </w:r>
      <w:r w:rsidR="00017496" w:rsidRPr="00086914">
        <w:t xml:space="preserve">is </w:t>
      </w:r>
      <w:r w:rsidR="002944BA" w:rsidRPr="00086914">
        <w:t>being considered</w:t>
      </w:r>
      <w:r w:rsidR="00017496" w:rsidRPr="00086914">
        <w:t>?</w:t>
      </w:r>
    </w:p>
    <w:p w:rsidR="00017496" w:rsidRDefault="00017496" w:rsidP="00017496">
      <w:pPr>
        <w:pStyle w:val="NoSpacing"/>
      </w:pPr>
    </w:p>
    <w:p w:rsidR="009309BB" w:rsidRDefault="006071B1" w:rsidP="00DD1639">
      <w:pPr>
        <w:pStyle w:val="StandardParagrpah"/>
      </w:pPr>
      <w:r>
        <w:t xml:space="preserve">This should describe early thoughts on the solution being considered to address the need for </w:t>
      </w:r>
      <w:r w:rsidR="009309BB">
        <w:t>change and investment; however, as not all proposals will have formed ideas on potential solutions at this stage then a limited response to this question is acceptable in these circumstances.</w:t>
      </w:r>
    </w:p>
    <w:p w:rsidR="006071B1" w:rsidRDefault="006071B1" w:rsidP="00DD1639">
      <w:pPr>
        <w:pStyle w:val="StandardParagrpah"/>
      </w:pPr>
      <w:r>
        <w:t xml:space="preserve">A brief description is </w:t>
      </w:r>
      <w:r w:rsidR="009309BB">
        <w:t>required</w:t>
      </w:r>
      <w:r>
        <w:t xml:space="preserve">, based around the following five </w:t>
      </w:r>
      <w:r w:rsidR="00017496">
        <w:t>questions:</w:t>
      </w:r>
    </w:p>
    <w:p w:rsidR="00392179" w:rsidRDefault="00392179" w:rsidP="00DD1639">
      <w:pPr>
        <w:pStyle w:val="Standardbullet"/>
      </w:pPr>
      <w:r>
        <w:t xml:space="preserve">What </w:t>
      </w:r>
      <w:proofErr w:type="gramStart"/>
      <w:r w:rsidR="006071B1">
        <w:t>is</w:t>
      </w:r>
      <w:proofErr w:type="gramEnd"/>
      <w:r w:rsidR="006071B1">
        <w:t xml:space="preserve"> the </w:t>
      </w:r>
      <w:r w:rsidR="00E0369B">
        <w:t>scope</w:t>
      </w:r>
      <w:r w:rsidR="00017496">
        <w:t xml:space="preserve"> and/or size of services </w:t>
      </w:r>
      <w:r>
        <w:t>being considered?</w:t>
      </w:r>
    </w:p>
    <w:p w:rsidR="00392179" w:rsidRDefault="00392179" w:rsidP="00DD1639">
      <w:pPr>
        <w:pStyle w:val="Standardbullet"/>
      </w:pPr>
      <w:r>
        <w:t xml:space="preserve">What </w:t>
      </w:r>
      <w:r w:rsidR="00E0009E">
        <w:t>is the proposed service arrangement and/or capacity expectation</w:t>
      </w:r>
      <w:r>
        <w:t>?</w:t>
      </w:r>
    </w:p>
    <w:p w:rsidR="00392179" w:rsidRDefault="00017496" w:rsidP="00DD1639">
      <w:pPr>
        <w:pStyle w:val="Standardbullet"/>
      </w:pPr>
      <w:r>
        <w:t>Who are</w:t>
      </w:r>
      <w:r w:rsidR="00392179">
        <w:t xml:space="preserve"> likely to </w:t>
      </w:r>
      <w:r>
        <w:t>be the future service providers</w:t>
      </w:r>
      <w:r w:rsidR="00392179">
        <w:t>?</w:t>
      </w:r>
    </w:p>
    <w:p w:rsidR="00392179" w:rsidRDefault="00017496" w:rsidP="00DD1639">
      <w:pPr>
        <w:pStyle w:val="Standardbullet"/>
      </w:pPr>
      <w:r>
        <w:t xml:space="preserve">What impact </w:t>
      </w:r>
      <w:r w:rsidR="00EB35D9">
        <w:t xml:space="preserve">is likely </w:t>
      </w:r>
      <w:r>
        <w:t xml:space="preserve">on assets </w:t>
      </w:r>
      <w:r w:rsidR="00EB35D9">
        <w:t>(new, replacement, refurbishment, etc)?</w:t>
      </w:r>
    </w:p>
    <w:p w:rsidR="00392179" w:rsidRDefault="00EB35D9" w:rsidP="00DD1639">
      <w:pPr>
        <w:pStyle w:val="Standardbullet"/>
      </w:pPr>
      <w:r>
        <w:t>W</w:t>
      </w:r>
      <w:r w:rsidR="00392179">
        <w:t xml:space="preserve">hat is the likely value of </w:t>
      </w:r>
      <w:r>
        <w:t xml:space="preserve">the </w:t>
      </w:r>
      <w:r w:rsidR="00392179">
        <w:t>investment</w:t>
      </w:r>
      <w:r w:rsidR="00DD1639">
        <w:t xml:space="preserve"> (</w:t>
      </w:r>
      <w:r w:rsidR="009309BB">
        <w:t>this should align with any figure already stated on the Board’s Local Delivery Plan</w:t>
      </w:r>
      <w:r w:rsidR="003D6F59">
        <w:t xml:space="preserve">) and any thoughts on likely </w:t>
      </w:r>
      <w:r>
        <w:t>procurement route</w:t>
      </w:r>
      <w:r w:rsidR="003D6F59">
        <w:t>.</w:t>
      </w:r>
    </w:p>
    <w:p w:rsidR="00B43B0F" w:rsidRDefault="00B43B0F" w:rsidP="00B43B0F">
      <w:pPr>
        <w:pStyle w:val="Standardbullet"/>
        <w:numPr>
          <w:ilvl w:val="0"/>
          <w:numId w:val="0"/>
        </w:numPr>
        <w:ind w:left="720" w:hanging="360"/>
      </w:pPr>
    </w:p>
    <w:p w:rsidR="00392179" w:rsidRPr="00FE0C02" w:rsidRDefault="00392179" w:rsidP="00FE0C02">
      <w:pPr>
        <w:rPr>
          <w:rFonts w:ascii="Arial" w:hAnsi="Arial" w:cs="Arial"/>
          <w:sz w:val="24"/>
        </w:rPr>
        <w:sectPr w:rsidR="00392179" w:rsidRPr="00FE0C02" w:rsidSect="00B43B0F">
          <w:headerReference w:type="default" r:id="rId10"/>
          <w:footerReference w:type="default" r:id="rId11"/>
          <w:pgSz w:w="11906" w:h="16838" w:code="9"/>
          <w:pgMar w:top="1701" w:right="1440" w:bottom="1440" w:left="1440" w:header="709" w:footer="709" w:gutter="0"/>
          <w:pgNumType w:start="1"/>
          <w:cols w:space="708"/>
          <w:docGrid w:linePitch="360"/>
        </w:sectPr>
      </w:pPr>
    </w:p>
    <w:p w:rsidR="00392179" w:rsidRDefault="00392179" w:rsidP="00392179">
      <w:pPr>
        <w:pStyle w:val="FrontPageTitle"/>
        <w:jc w:val="center"/>
      </w:pPr>
    </w:p>
    <w:p w:rsidR="00392179" w:rsidRPr="00E0009E" w:rsidRDefault="00392179" w:rsidP="00392179">
      <w:pPr>
        <w:pStyle w:val="FrontPageTitle"/>
        <w:jc w:val="center"/>
        <w:rPr>
          <w:color w:val="000000" w:themeColor="text1"/>
        </w:rPr>
      </w:pPr>
      <w:r w:rsidRPr="00E0009E">
        <w:rPr>
          <w:color w:val="000000" w:themeColor="text1"/>
        </w:rPr>
        <w:t>A</w:t>
      </w:r>
      <w:r w:rsidR="00E0009E">
        <w:rPr>
          <w:color w:val="000000" w:themeColor="text1"/>
        </w:rPr>
        <w:t xml:space="preserve">ppendix </w:t>
      </w:r>
      <w:r w:rsidR="00B43B0F">
        <w:rPr>
          <w:color w:val="000000" w:themeColor="text1"/>
        </w:rPr>
        <w:t>A</w:t>
      </w:r>
    </w:p>
    <w:p w:rsidR="00392179" w:rsidRPr="00E0009E" w:rsidRDefault="0062335A" w:rsidP="00392179">
      <w:pPr>
        <w:pStyle w:val="FrontPageTitle"/>
        <w:jc w:val="center"/>
        <w:rPr>
          <w:color w:val="000000" w:themeColor="text1"/>
        </w:rPr>
      </w:pPr>
      <w:r w:rsidRPr="00E0009E">
        <w:rPr>
          <w:color w:val="000000" w:themeColor="text1"/>
        </w:rPr>
        <w:t>Strategic Assessment Template</w:t>
      </w:r>
      <w:r w:rsidR="00392179" w:rsidRPr="00E0009E">
        <w:rPr>
          <w:color w:val="000000" w:themeColor="text1"/>
        </w:rPr>
        <w:t xml:space="preserve"> example</w:t>
      </w:r>
    </w:p>
    <w:p w:rsidR="00E0009E" w:rsidRPr="005F5566" w:rsidRDefault="006A64FB" w:rsidP="005F5566">
      <w:pPr>
        <w:jc w:val="center"/>
        <w:rPr>
          <w:rFonts w:ascii="Arial" w:eastAsiaTheme="majorEastAsia" w:hAnsi="Arial" w:cstheme="majorBidi"/>
          <w:b/>
          <w:color w:val="548DD4" w:themeColor="text2" w:themeTint="99"/>
          <w:spacing w:val="5"/>
          <w:kern w:val="28"/>
          <w:sz w:val="52"/>
          <w:szCs w:val="52"/>
        </w:rPr>
        <w:sectPr w:rsidR="00E0009E" w:rsidRPr="005F5566" w:rsidSect="00392179">
          <w:headerReference w:type="default" r:id="rId12"/>
          <w:footerReference w:type="default" r:id="rId13"/>
          <w:pgSz w:w="16838" w:h="11906" w:orient="landscape"/>
          <w:pgMar w:top="1440" w:right="1440" w:bottom="1440" w:left="1440" w:header="708" w:footer="708" w:gutter="0"/>
          <w:pgNumType w:start="1"/>
          <w:cols w:space="708"/>
          <w:docGrid w:linePitch="360"/>
        </w:sectPr>
      </w:pPr>
      <w:r>
        <w:br w:type="page"/>
      </w:r>
      <w:r w:rsidR="001C0F37" w:rsidRPr="001C0F37">
        <w:lastRenderedPageBreak/>
        <w:drawing>
          <wp:inline distT="0" distB="0" distL="0" distR="0">
            <wp:extent cx="7701667" cy="567021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7702339" cy="5670712"/>
                    </a:xfrm>
                    <a:prstGeom prst="rect">
                      <a:avLst/>
                    </a:prstGeom>
                    <a:noFill/>
                    <a:ln w="9525">
                      <a:noFill/>
                      <a:miter lim="800000"/>
                      <a:headEnd/>
                      <a:tailEnd/>
                    </a:ln>
                  </pic:spPr>
                </pic:pic>
              </a:graphicData>
            </a:graphic>
          </wp:inline>
        </w:drawing>
      </w:r>
    </w:p>
    <w:p w:rsidR="00E0009E" w:rsidRDefault="00E0009E" w:rsidP="00E0009E">
      <w:pPr>
        <w:pStyle w:val="FrontPageTitle"/>
        <w:jc w:val="center"/>
      </w:pPr>
    </w:p>
    <w:p w:rsidR="00E0009E" w:rsidRPr="00E0009E" w:rsidRDefault="00B43B0F" w:rsidP="00E0009E">
      <w:pPr>
        <w:pStyle w:val="FrontPageTitle"/>
        <w:jc w:val="center"/>
        <w:rPr>
          <w:color w:val="000000" w:themeColor="text1"/>
        </w:rPr>
      </w:pPr>
      <w:r>
        <w:rPr>
          <w:color w:val="000000" w:themeColor="text1"/>
        </w:rPr>
        <w:t>Appendix B</w:t>
      </w:r>
    </w:p>
    <w:p w:rsidR="00E0009E" w:rsidRPr="00E0009E" w:rsidRDefault="00E0009E" w:rsidP="00E0009E">
      <w:pPr>
        <w:pStyle w:val="FrontPageTitle"/>
        <w:jc w:val="center"/>
        <w:rPr>
          <w:color w:val="000000" w:themeColor="text1"/>
        </w:rPr>
      </w:pPr>
      <w:r>
        <w:rPr>
          <w:color w:val="000000" w:themeColor="text1"/>
        </w:rPr>
        <w:t xml:space="preserve">Definitions of </w:t>
      </w:r>
      <w:proofErr w:type="spellStart"/>
      <w:r>
        <w:rPr>
          <w:color w:val="000000" w:themeColor="text1"/>
        </w:rPr>
        <w:t>NHSScotland’s</w:t>
      </w:r>
      <w:proofErr w:type="spellEnd"/>
      <w:r>
        <w:rPr>
          <w:color w:val="000000" w:themeColor="text1"/>
        </w:rPr>
        <w:t xml:space="preserve"> Strategic Investment Priorities</w:t>
      </w:r>
    </w:p>
    <w:p w:rsidR="005E7033" w:rsidRDefault="005E7033">
      <w:pPr>
        <w:rPr>
          <w:rFonts w:ascii="Arial" w:eastAsiaTheme="majorEastAsia" w:hAnsi="Arial" w:cstheme="majorBidi"/>
          <w:b/>
          <w:color w:val="548DD4" w:themeColor="text2" w:themeTint="99"/>
          <w:spacing w:val="5"/>
          <w:kern w:val="28"/>
          <w:sz w:val="52"/>
          <w:szCs w:val="52"/>
        </w:rPr>
      </w:pPr>
      <w:r>
        <w:br w:type="page"/>
      </w:r>
    </w:p>
    <w:p w:rsidR="00520BDC" w:rsidRDefault="00520BDC" w:rsidP="005E7033">
      <w:pPr>
        <w:spacing w:after="0" w:line="240" w:lineRule="auto"/>
        <w:jc w:val="center"/>
        <w:rPr>
          <w:rFonts w:ascii="Arial" w:eastAsia="Times New Roman" w:hAnsi="Arial" w:cs="Arial"/>
          <w:b/>
          <w:bCs/>
          <w:sz w:val="40"/>
          <w:szCs w:val="40"/>
          <w:lang w:eastAsia="en-GB"/>
        </w:rPr>
        <w:sectPr w:rsidR="00520BDC" w:rsidSect="00223252">
          <w:footerReference w:type="default" r:id="rId15"/>
          <w:pgSz w:w="16838" w:h="11906" w:orient="landscape"/>
          <w:pgMar w:top="1440" w:right="1440" w:bottom="1440" w:left="1440" w:header="708" w:footer="708" w:gutter="0"/>
          <w:pgNumType w:start="1"/>
          <w:cols w:space="708"/>
          <w:docGrid w:linePitch="360"/>
        </w:sectPr>
      </w:pPr>
    </w:p>
    <w:tbl>
      <w:tblPr>
        <w:tblW w:w="5000" w:type="pct"/>
        <w:tblLook w:val="04A0"/>
      </w:tblPr>
      <w:tblGrid>
        <w:gridCol w:w="486"/>
        <w:gridCol w:w="1137"/>
        <w:gridCol w:w="5931"/>
        <w:gridCol w:w="6620"/>
      </w:tblGrid>
      <w:tr w:rsidR="00223252" w:rsidRPr="00223252" w:rsidTr="00C544CD">
        <w:trPr>
          <w:trHeight w:val="499"/>
        </w:trPr>
        <w:tc>
          <w:tcPr>
            <w:tcW w:w="5000" w:type="pct"/>
            <w:gridSpan w:val="4"/>
            <w:tcBorders>
              <w:top w:val="nil"/>
              <w:left w:val="nil"/>
              <w:bottom w:val="nil"/>
              <w:right w:val="nil"/>
            </w:tcBorders>
            <w:shd w:val="clear" w:color="000000" w:fill="31849B" w:themeFill="accent5" w:themeFillShade="BF"/>
            <w:noWrap/>
            <w:vAlign w:val="bottom"/>
            <w:hideMark/>
          </w:tcPr>
          <w:p w:rsidR="00223252" w:rsidRPr="00223252" w:rsidRDefault="00223252" w:rsidP="00223252">
            <w:pPr>
              <w:spacing w:after="0" w:line="240" w:lineRule="auto"/>
              <w:jc w:val="center"/>
              <w:rPr>
                <w:rFonts w:ascii="Arial" w:eastAsia="Times New Roman" w:hAnsi="Arial" w:cs="Arial"/>
                <w:b/>
                <w:bCs/>
                <w:color w:val="FFFFFF"/>
                <w:sz w:val="40"/>
                <w:szCs w:val="40"/>
                <w:lang w:eastAsia="en-GB"/>
              </w:rPr>
            </w:pPr>
            <w:r w:rsidRPr="00223252">
              <w:rPr>
                <w:rFonts w:ascii="Arial" w:eastAsia="Times New Roman" w:hAnsi="Arial" w:cs="Arial"/>
                <w:b/>
                <w:bCs/>
                <w:color w:val="FFFFFF"/>
                <w:sz w:val="40"/>
                <w:szCs w:val="40"/>
                <w:lang w:eastAsia="en-GB"/>
              </w:rPr>
              <w:lastRenderedPageBreak/>
              <w:t xml:space="preserve">Person </w:t>
            </w:r>
            <w:proofErr w:type="spellStart"/>
            <w:r w:rsidRPr="00223252">
              <w:rPr>
                <w:rFonts w:ascii="Arial" w:eastAsia="Times New Roman" w:hAnsi="Arial" w:cs="Arial"/>
                <w:b/>
                <w:bCs/>
                <w:color w:val="FFFFFF"/>
                <w:sz w:val="40"/>
                <w:szCs w:val="40"/>
                <w:lang w:eastAsia="en-GB"/>
              </w:rPr>
              <w:t>Centered</w:t>
            </w:r>
            <w:proofErr w:type="spellEnd"/>
          </w:p>
        </w:tc>
      </w:tr>
      <w:tr w:rsidR="00223252" w:rsidRPr="00223252" w:rsidTr="00C544CD">
        <w:trPr>
          <w:trHeight w:val="300"/>
        </w:trPr>
        <w:tc>
          <w:tcPr>
            <w:tcW w:w="177"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sz w:val="28"/>
                <w:szCs w:val="28"/>
                <w:lang w:eastAsia="en-GB"/>
              </w:rPr>
            </w:pPr>
          </w:p>
        </w:tc>
        <w:tc>
          <w:tcPr>
            <w:tcW w:w="384"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24"/>
                <w:lang w:eastAsia="en-GB"/>
              </w:rPr>
            </w:pPr>
          </w:p>
        </w:tc>
        <w:tc>
          <w:tcPr>
            <w:tcW w:w="2098"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24"/>
                <w:lang w:eastAsia="en-GB"/>
              </w:rPr>
            </w:pPr>
          </w:p>
        </w:tc>
        <w:tc>
          <w:tcPr>
            <w:tcW w:w="2341" w:type="pct"/>
            <w:tcBorders>
              <w:top w:val="nil"/>
              <w:left w:val="nil"/>
              <w:bottom w:val="nil"/>
              <w:right w:val="nil"/>
            </w:tcBorders>
          </w:tcPr>
          <w:p w:rsidR="00223252" w:rsidRPr="00223252" w:rsidRDefault="00223252" w:rsidP="00223252">
            <w:pPr>
              <w:spacing w:after="0" w:line="240" w:lineRule="auto"/>
              <w:rPr>
                <w:rFonts w:ascii="Calibri" w:eastAsia="Times New Roman" w:hAnsi="Calibri" w:cs="Times New Roman"/>
                <w:color w:val="000000"/>
                <w:sz w:val="24"/>
                <w:lang w:eastAsia="en-GB"/>
              </w:rPr>
            </w:pPr>
          </w:p>
        </w:tc>
      </w:tr>
      <w:tr w:rsidR="00223252" w:rsidRPr="00223252" w:rsidTr="00C544CD">
        <w:trPr>
          <w:trHeight w:val="1310"/>
        </w:trPr>
        <w:tc>
          <w:tcPr>
            <w:tcW w:w="177" w:type="pct"/>
            <w:tcBorders>
              <w:top w:val="nil"/>
              <w:left w:val="nil"/>
              <w:bottom w:val="nil"/>
              <w:right w:val="nil"/>
            </w:tcBorders>
            <w:shd w:val="clear" w:color="000000" w:fill="002060"/>
            <w:noWrap/>
            <w:vAlign w:val="center"/>
            <w:hideMark/>
          </w:tcPr>
          <w:p w:rsidR="00223252" w:rsidRPr="00223252" w:rsidRDefault="00223252" w:rsidP="00223252">
            <w:pPr>
              <w:spacing w:after="0" w:line="240" w:lineRule="auto"/>
              <w:jc w:val="center"/>
              <w:rPr>
                <w:rFonts w:ascii="Calibri" w:eastAsia="Times New Roman" w:hAnsi="Calibri" w:cs="Times New Roman"/>
                <w:color w:val="FFFFFF"/>
                <w:sz w:val="56"/>
                <w:szCs w:val="56"/>
                <w:lang w:eastAsia="en-GB"/>
              </w:rPr>
            </w:pPr>
            <w:r w:rsidRPr="00223252">
              <w:rPr>
                <w:rFonts w:ascii="Calibri" w:eastAsia="Times New Roman" w:hAnsi="Calibri" w:cs="Times New Roman"/>
                <w:color w:val="FFFFFF"/>
                <w:sz w:val="56"/>
                <w:szCs w:val="56"/>
                <w:lang w:eastAsia="en-GB"/>
              </w:rPr>
              <w:t> </w:t>
            </w:r>
          </w:p>
        </w:tc>
        <w:tc>
          <w:tcPr>
            <w:tcW w:w="384"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Ensures that resources are in place to support people powered health and care services, and promotes personal responsibility and self-management for individuals health and wellbeing</w:t>
            </w:r>
          </w:p>
        </w:tc>
      </w:tr>
      <w:tr w:rsidR="00223252" w:rsidRPr="00223252" w:rsidTr="00C544CD">
        <w:trPr>
          <w:trHeight w:val="300"/>
        </w:trPr>
        <w:tc>
          <w:tcPr>
            <w:tcW w:w="177"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24"/>
                <w:lang w:eastAsia="en-GB"/>
              </w:rPr>
            </w:pPr>
          </w:p>
        </w:tc>
        <w:tc>
          <w:tcPr>
            <w:tcW w:w="384"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24"/>
                <w:lang w:eastAsia="en-GB"/>
              </w:rPr>
            </w:pPr>
          </w:p>
        </w:tc>
        <w:tc>
          <w:tcPr>
            <w:tcW w:w="2098" w:type="pct"/>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341" w:type="pct"/>
            <w:tcBorders>
              <w:top w:val="nil"/>
              <w:left w:val="nil"/>
              <w:bottom w:val="nil"/>
              <w:right w:val="nil"/>
            </w:tcBorders>
            <w:vAlign w:val="center"/>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223252" w:rsidRPr="00223252" w:rsidTr="00C544CD">
        <w:trPr>
          <w:trHeight w:val="300"/>
        </w:trPr>
        <w:tc>
          <w:tcPr>
            <w:tcW w:w="177" w:type="pct"/>
            <w:vMerge w:val="restart"/>
            <w:tcBorders>
              <w:top w:val="nil"/>
              <w:left w:val="nil"/>
              <w:bottom w:val="nil"/>
              <w:right w:val="single" w:sz="8" w:space="0" w:color="auto"/>
            </w:tcBorders>
            <w:shd w:val="clear" w:color="000000" w:fill="17375D"/>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3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2098" w:type="pct"/>
            <w:vMerge w:val="restart"/>
            <w:tcBorders>
              <w:top w:val="single" w:sz="8" w:space="0" w:color="auto"/>
              <w:left w:val="nil"/>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people in looking after and improving their own health and wellbeing</w:t>
            </w:r>
          </w:p>
        </w:tc>
        <w:tc>
          <w:tcPr>
            <w:tcW w:w="2341" w:type="pct"/>
            <w:tcBorders>
              <w:top w:val="single" w:sz="8" w:space="0" w:color="auto"/>
              <w:left w:val="nil"/>
              <w:bottom w:val="nil"/>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able to look after their health very well or quite well</w:t>
            </w:r>
          </w:p>
        </w:tc>
      </w:tr>
      <w:tr w:rsidR="00223252" w:rsidRPr="00223252" w:rsidTr="00C544CD">
        <w:trPr>
          <w:trHeight w:val="300"/>
        </w:trPr>
        <w:tc>
          <w:tcPr>
            <w:tcW w:w="177" w:type="pct"/>
            <w:vMerge/>
            <w:tcBorders>
              <w:top w:val="nil"/>
              <w:left w:val="nil"/>
              <w:bottom w:val="nil"/>
              <w:right w:val="single" w:sz="8" w:space="0" w:color="auto"/>
            </w:tcBorders>
            <w:shd w:val="clear" w:color="000000" w:fill="17375D"/>
            <w:vAlign w:val="center"/>
            <w:hideMark/>
          </w:tcPr>
          <w:p w:rsidR="00223252" w:rsidRPr="00223252" w:rsidRDefault="00223252" w:rsidP="00223252">
            <w:pPr>
              <w:spacing w:after="0" w:line="240" w:lineRule="auto"/>
              <w:jc w:val="center"/>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p>
        </w:tc>
        <w:tc>
          <w:tcPr>
            <w:tcW w:w="2098" w:type="pct"/>
            <w:vMerge/>
            <w:tcBorders>
              <w:left w:val="nil"/>
              <w:bottom w:val="nil"/>
              <w:right w:val="single" w:sz="8" w:space="0" w:color="auto"/>
            </w:tcBorders>
            <w:shd w:val="clear" w:color="auto" w:fill="auto"/>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8" w:space="0" w:color="auto"/>
              <w:left w:val="nil"/>
              <w:bottom w:val="nil"/>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of emergency inpatient bed days for adults</w:t>
            </w:r>
          </w:p>
        </w:tc>
      </w:tr>
      <w:tr w:rsidR="00223252" w:rsidRPr="00223252" w:rsidTr="00C544CD">
        <w:trPr>
          <w:trHeight w:val="6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val="restart"/>
            <w:tcBorders>
              <w:top w:val="single" w:sz="4" w:space="0" w:color="auto"/>
              <w:left w:val="nil"/>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Ensure that people who use health and social care services have positive experiences and their dignity respected.</w:t>
            </w:r>
          </w:p>
        </w:tc>
        <w:tc>
          <w:tcPr>
            <w:tcW w:w="2341" w:type="pct"/>
            <w:tcBorders>
              <w:top w:val="single" w:sz="4" w:space="0" w:color="auto"/>
              <w:left w:val="nil"/>
              <w:bottom w:val="nil"/>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supported at home who agree that their health &amp; care services seemed to be well co-ordinated</w:t>
            </w:r>
          </w:p>
        </w:tc>
      </w:tr>
      <w:tr w:rsidR="00223252" w:rsidRPr="00223252" w:rsidTr="00C544CD">
        <w:trPr>
          <w:trHeight w:val="6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right w:val="single" w:sz="8" w:space="0" w:color="auto"/>
            </w:tcBorders>
            <w:shd w:val="clear" w:color="auto" w:fill="auto"/>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receiving any care or support who rate it as excellent or good</w:t>
            </w:r>
          </w:p>
        </w:tc>
      </w:tr>
      <w:tr w:rsidR="00223252" w:rsidRPr="00223252" w:rsidTr="00C544CD">
        <w:trPr>
          <w:trHeight w:val="371"/>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right w:val="single" w:sz="8" w:space="0" w:color="auto"/>
            </w:tcBorders>
            <w:shd w:val="clear" w:color="auto" w:fill="auto"/>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Indicator on people’s experience of their GP practice</w:t>
            </w:r>
          </w:p>
        </w:tc>
      </w:tr>
      <w:tr w:rsidR="00223252" w:rsidRPr="00223252" w:rsidTr="00C544CD">
        <w:trPr>
          <w:trHeight w:val="6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right w:val="single" w:sz="8" w:space="0" w:color="auto"/>
            </w:tcBorders>
            <w:shd w:val="clear" w:color="auto" w:fill="auto"/>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Care and Care at Home services rated 3 or above in Care Inspectorate Inspections</w:t>
            </w:r>
          </w:p>
        </w:tc>
      </w:tr>
      <w:tr w:rsidR="00223252" w:rsidRPr="00223252" w:rsidTr="00C544CD">
        <w:trPr>
          <w:trHeight w:val="6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4" w:space="0" w:color="auto"/>
              <w:right w:val="single" w:sz="8" w:space="0" w:color="auto"/>
            </w:tcBorders>
            <w:shd w:val="clear" w:color="auto" w:fill="auto"/>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last 6 months of life spent at home or in community settings</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val="restart"/>
            <w:tcBorders>
              <w:top w:val="single" w:sz="4" w:space="0" w:color="auto"/>
              <w:left w:val="nil"/>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support to allow people to live independently</w:t>
            </w:r>
          </w:p>
        </w:tc>
        <w:tc>
          <w:tcPr>
            <w:tcW w:w="2341" w:type="pct"/>
            <w:tcBorders>
              <w:top w:val="single" w:sz="4"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supported at home who agree that they are support to live as independently as possible</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of emergency inpatient bed days for adults</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with intensive needs receiving care at home</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Patient re-admission rate</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Delayed discharge rate</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tcBorders>
              <w:top w:val="single" w:sz="8"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quality of life through care provided</w:t>
            </w:r>
          </w:p>
        </w:tc>
        <w:tc>
          <w:tcPr>
            <w:tcW w:w="2341" w:type="pct"/>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Percentage of adults supported at home who agree that their services and support had an impact in improving or maintaining </w:t>
            </w:r>
            <w:r w:rsidRPr="00223252">
              <w:rPr>
                <w:rFonts w:ascii="Arial" w:eastAsia="Times New Roman" w:hAnsi="Arial" w:cs="Arial"/>
                <w:color w:val="000000"/>
                <w:lang w:eastAsia="en-GB"/>
              </w:rPr>
              <w:lastRenderedPageBreak/>
              <w:t>their quality of life</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tcBorders>
              <w:top w:val="single" w:sz="4"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proportion of people with intensive needs being cared for at home</w:t>
            </w:r>
          </w:p>
        </w:tc>
        <w:tc>
          <w:tcPr>
            <w:tcW w:w="2341" w:type="pct"/>
            <w:tcBorders>
              <w:top w:val="single" w:sz="4"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support for carers</w:t>
            </w:r>
          </w:p>
        </w:tc>
        <w:tc>
          <w:tcPr>
            <w:tcW w:w="2341" w:type="pct"/>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carers who feel supported to continue in their caring role</w:t>
            </w:r>
          </w:p>
        </w:tc>
      </w:tr>
      <w:tr w:rsidR="00223252" w:rsidRPr="00223252" w:rsidTr="00C544CD">
        <w:trPr>
          <w:trHeight w:val="300"/>
        </w:trPr>
        <w:tc>
          <w:tcPr>
            <w:tcW w:w="177"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care home environment</w:t>
            </w:r>
          </w:p>
        </w:tc>
        <w:tc>
          <w:tcPr>
            <w:tcW w:w="2341" w:type="pct"/>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223252" w:rsidRPr="00223252" w:rsidTr="00C544CD">
        <w:trPr>
          <w:trHeight w:val="71"/>
        </w:trPr>
        <w:tc>
          <w:tcPr>
            <w:tcW w:w="177"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Calibri" w:eastAsia="Times New Roman" w:hAnsi="Calibri" w:cs="Times New Roman"/>
                <w:color w:val="000000"/>
                <w:sz w:val="24"/>
                <w:lang w:eastAsia="en-GB"/>
              </w:rPr>
            </w:pPr>
          </w:p>
        </w:tc>
        <w:tc>
          <w:tcPr>
            <w:tcW w:w="384"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2098"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2341" w:type="pct"/>
            <w:tcBorders>
              <w:top w:val="single" w:sz="8" w:space="0" w:color="auto"/>
              <w:left w:val="nil"/>
              <w:bottom w:val="single" w:sz="4" w:space="0" w:color="auto"/>
              <w:right w:val="single" w:sz="8" w:space="0" w:color="auto"/>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315"/>
        </w:trPr>
        <w:tc>
          <w:tcPr>
            <w:tcW w:w="177" w:type="pct"/>
            <w:vMerge w:val="restart"/>
            <w:tcBorders>
              <w:top w:val="nil"/>
              <w:left w:val="nil"/>
              <w:bottom w:val="nil"/>
              <w:right w:val="nil"/>
            </w:tcBorders>
            <w:shd w:val="clear" w:color="000000" w:fill="376091"/>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384" w:type="pct"/>
            <w:vMerge w:val="restart"/>
            <w:tcBorders>
              <w:top w:val="single" w:sz="8" w:space="0" w:color="auto"/>
              <w:left w:val="single" w:sz="8" w:space="0" w:color="auto"/>
              <w:bottom w:val="nil"/>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2098" w:type="pct"/>
            <w:tcBorders>
              <w:top w:val="single" w:sz="8"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the Physical condition of the health / care estate</w:t>
            </w:r>
          </w:p>
        </w:tc>
        <w:tc>
          <w:tcPr>
            <w:tcW w:w="2341" w:type="pct"/>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either A or B for the Physical Condition appraisal facet</w:t>
            </w:r>
          </w:p>
        </w:tc>
      </w:tr>
      <w:tr w:rsidR="00223252" w:rsidRPr="00223252" w:rsidTr="00C544CD">
        <w:trPr>
          <w:trHeight w:val="315"/>
        </w:trPr>
        <w:tc>
          <w:tcPr>
            <w:tcW w:w="177" w:type="pct"/>
            <w:vMerge/>
            <w:tcBorders>
              <w:top w:val="nil"/>
              <w:left w:val="nil"/>
              <w:bottom w:val="nil"/>
              <w:right w:val="nil"/>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the quality of the healthcare estate</w:t>
            </w:r>
          </w:p>
        </w:tc>
        <w:tc>
          <w:tcPr>
            <w:tcW w:w="2341" w:type="pct"/>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either A or B for the Quality appraisal facet</w:t>
            </w:r>
          </w:p>
        </w:tc>
      </w:tr>
      <w:tr w:rsidR="00223252" w:rsidRPr="00223252" w:rsidTr="00C544CD">
        <w:trPr>
          <w:trHeight w:val="315"/>
        </w:trPr>
        <w:tc>
          <w:tcPr>
            <w:tcW w:w="177" w:type="pct"/>
            <w:vMerge/>
            <w:tcBorders>
              <w:top w:val="nil"/>
              <w:left w:val="nil"/>
              <w:bottom w:val="nil"/>
              <w:right w:val="nil"/>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peoples opinion of the hospital environment</w:t>
            </w:r>
          </w:p>
        </w:tc>
        <w:tc>
          <w:tcPr>
            <w:tcW w:w="2341" w:type="pct"/>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positive responses to the In-Patient Questionnaire on patient rating of the hospital environment</w:t>
            </w:r>
          </w:p>
        </w:tc>
      </w:tr>
      <w:tr w:rsidR="00223252" w:rsidRPr="00223252" w:rsidTr="00C544CD">
        <w:trPr>
          <w:trHeight w:val="330"/>
        </w:trPr>
        <w:tc>
          <w:tcPr>
            <w:tcW w:w="177" w:type="pct"/>
            <w:vMerge/>
            <w:tcBorders>
              <w:top w:val="nil"/>
              <w:left w:val="nil"/>
              <w:bottom w:val="nil"/>
              <w:right w:val="nil"/>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the age of the Healthcare Estate</w:t>
            </w:r>
          </w:p>
        </w:tc>
        <w:tc>
          <w:tcPr>
            <w:tcW w:w="2341" w:type="pct"/>
            <w:tcBorders>
              <w:top w:val="single" w:sz="8" w:space="0" w:color="auto"/>
              <w:left w:val="single" w:sz="4" w:space="0" w:color="auto"/>
              <w:bottom w:val="single" w:sz="8" w:space="0" w:color="000000"/>
              <w:right w:val="single" w:sz="8" w:space="0" w:color="auto"/>
            </w:tcBorders>
            <w:shd w:val="clear" w:color="000000" w:fill="FFFFFF"/>
            <w:vAlign w:val="center"/>
          </w:tcPr>
          <w:p w:rsidR="00223252" w:rsidRPr="00223252" w:rsidRDefault="00223252" w:rsidP="00223252">
            <w:pPr>
              <w:spacing w:before="60" w:after="60" w:line="240" w:lineRule="auto"/>
              <w:rPr>
                <w:rFonts w:ascii="Arial" w:eastAsia="Times New Roman" w:hAnsi="Arial" w:cs="Arial"/>
                <w:sz w:val="24"/>
                <w:lang w:eastAsia="en-GB"/>
              </w:rPr>
            </w:pPr>
            <w:r w:rsidRPr="00223252">
              <w:rPr>
                <w:rFonts w:ascii="Arial" w:eastAsia="Times New Roman" w:hAnsi="Arial" w:cs="Arial"/>
                <w:lang w:eastAsia="en-GB"/>
              </w:rPr>
              <w:t>Percentage of estate less than 50 years old</w:t>
            </w:r>
          </w:p>
        </w:tc>
      </w:tr>
      <w:tr w:rsidR="00223252" w:rsidRPr="00223252" w:rsidTr="00C544CD">
        <w:trPr>
          <w:trHeight w:val="94"/>
        </w:trPr>
        <w:tc>
          <w:tcPr>
            <w:tcW w:w="177" w:type="pct"/>
            <w:vMerge/>
            <w:tcBorders>
              <w:top w:val="nil"/>
              <w:left w:val="nil"/>
              <w:bottom w:val="nil"/>
              <w:right w:val="nil"/>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tcBorders>
              <w:top w:val="single" w:sz="8" w:space="0" w:color="auto"/>
              <w:left w:val="single" w:sz="8" w:space="0" w:color="auto"/>
              <w:bottom w:val="single" w:sz="8" w:space="0" w:color="000000"/>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16"/>
                <w:szCs w:val="16"/>
                <w:lang w:eastAsia="en-GB"/>
              </w:rPr>
            </w:pPr>
          </w:p>
        </w:tc>
        <w:tc>
          <w:tcPr>
            <w:tcW w:w="2098" w:type="pct"/>
            <w:tcBorders>
              <w:top w:val="single" w:sz="8" w:space="0" w:color="auto"/>
              <w:bottom w:val="single" w:sz="8" w:space="0" w:color="000000"/>
            </w:tcBorders>
            <w:shd w:val="clear" w:color="000000" w:fill="FFFFFF"/>
            <w:vAlign w:val="center"/>
            <w:hideMark/>
          </w:tcPr>
          <w:p w:rsidR="00223252" w:rsidRPr="00223252" w:rsidRDefault="00223252" w:rsidP="00223252">
            <w:pPr>
              <w:spacing w:after="0" w:line="240" w:lineRule="auto"/>
              <w:jc w:val="center"/>
              <w:rPr>
                <w:rFonts w:ascii="Arial" w:eastAsia="Times New Roman" w:hAnsi="Arial" w:cs="Arial"/>
                <w:sz w:val="16"/>
                <w:szCs w:val="16"/>
                <w:lang w:eastAsia="en-GB"/>
              </w:rPr>
            </w:pPr>
          </w:p>
        </w:tc>
        <w:tc>
          <w:tcPr>
            <w:tcW w:w="2341" w:type="pct"/>
            <w:tcBorders>
              <w:top w:val="single" w:sz="8" w:space="0" w:color="auto"/>
              <w:bottom w:val="single" w:sz="8" w:space="0" w:color="000000"/>
              <w:right w:val="single" w:sz="8" w:space="0" w:color="auto"/>
            </w:tcBorders>
            <w:vAlign w:val="center"/>
          </w:tcPr>
          <w:p w:rsidR="00223252" w:rsidRPr="00223252" w:rsidRDefault="00223252" w:rsidP="00223252">
            <w:pPr>
              <w:spacing w:after="0" w:line="240" w:lineRule="auto"/>
              <w:rPr>
                <w:rFonts w:ascii="Arial" w:eastAsia="Times New Roman" w:hAnsi="Arial" w:cs="Arial"/>
                <w:sz w:val="16"/>
                <w:szCs w:val="16"/>
                <w:lang w:eastAsia="en-GB"/>
              </w:rPr>
            </w:pPr>
          </w:p>
        </w:tc>
      </w:tr>
      <w:tr w:rsidR="00223252" w:rsidRPr="00223252" w:rsidTr="00C544CD">
        <w:trPr>
          <w:trHeight w:val="300"/>
        </w:trPr>
        <w:tc>
          <w:tcPr>
            <w:tcW w:w="177" w:type="pct"/>
            <w:vMerge/>
            <w:tcBorders>
              <w:top w:val="nil"/>
              <w:left w:val="nil"/>
              <w:bottom w:val="nil"/>
              <w:right w:val="nil"/>
            </w:tcBorders>
            <w:vAlign w:val="center"/>
            <w:hideMark/>
          </w:tcPr>
          <w:p w:rsidR="00223252" w:rsidRPr="00223252" w:rsidRDefault="00223252" w:rsidP="00223252">
            <w:pPr>
              <w:spacing w:after="0" w:line="240" w:lineRule="auto"/>
              <w:rPr>
                <w:rFonts w:ascii="Calibri" w:eastAsia="Times New Roman" w:hAnsi="Calibri" w:cs="Times New Roman"/>
                <w:color w:val="FFFFFF"/>
                <w:sz w:val="56"/>
                <w:szCs w:val="56"/>
                <w:lang w:eastAsia="en-GB"/>
              </w:rPr>
            </w:pPr>
          </w:p>
        </w:tc>
        <w:tc>
          <w:tcPr>
            <w:tcW w:w="384"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2098" w:type="pct"/>
            <w:tcBorders>
              <w:top w:val="single" w:sz="8" w:space="0" w:color="auto"/>
              <w:left w:val="single" w:sz="4" w:space="0" w:color="auto"/>
              <w:bottom w:val="single" w:sz="8" w:space="0" w:color="000000"/>
              <w:right w:val="single" w:sz="8" w:space="0" w:color="auto"/>
            </w:tcBorders>
            <w:shd w:val="clear" w:color="000000" w:fill="FFFFFF"/>
            <w:vAlign w:val="center"/>
            <w:hideMark/>
          </w:tcPr>
          <w:p w:rsidR="00223252" w:rsidRPr="00223252" w:rsidRDefault="00223252" w:rsidP="00223252">
            <w:pPr>
              <w:spacing w:after="0" w:line="240" w:lineRule="auto"/>
              <w:jc w:val="center"/>
              <w:rPr>
                <w:rFonts w:ascii="Arial" w:eastAsia="Times New Roman" w:hAnsi="Arial" w:cs="Arial"/>
                <w:sz w:val="24"/>
                <w:szCs w:val="24"/>
                <w:lang w:eastAsia="en-GB"/>
              </w:rPr>
            </w:pPr>
            <w:r w:rsidRPr="00223252">
              <w:rPr>
                <w:rFonts w:ascii="Arial" w:eastAsia="Times New Roman" w:hAnsi="Arial" w:cs="Arial"/>
                <w:sz w:val="24"/>
                <w:szCs w:val="24"/>
                <w:lang w:eastAsia="en-GB"/>
              </w:rPr>
              <w:t>N/A</w:t>
            </w:r>
          </w:p>
        </w:tc>
        <w:tc>
          <w:tcPr>
            <w:tcW w:w="2341" w:type="pct"/>
            <w:tcBorders>
              <w:top w:val="single" w:sz="8" w:space="0" w:color="auto"/>
              <w:left w:val="single" w:sz="4" w:space="0" w:color="auto"/>
              <w:bottom w:val="single" w:sz="8" w:space="0" w:color="000000"/>
              <w:right w:val="single" w:sz="8" w:space="0" w:color="auto"/>
            </w:tcBorders>
            <w:vAlign w:val="center"/>
          </w:tcPr>
          <w:p w:rsidR="00223252" w:rsidRPr="00223252" w:rsidRDefault="00223252" w:rsidP="00223252">
            <w:pPr>
              <w:spacing w:before="60" w:after="60" w:line="240" w:lineRule="auto"/>
              <w:rPr>
                <w:rFonts w:ascii="Arial" w:eastAsia="Times New Roman" w:hAnsi="Arial" w:cs="Arial"/>
                <w:sz w:val="24"/>
                <w:lang w:eastAsia="en-GB"/>
              </w:rPr>
            </w:pPr>
          </w:p>
        </w:tc>
      </w:tr>
      <w:tr w:rsidR="00223252" w:rsidRPr="00223252" w:rsidTr="00C544CD">
        <w:trPr>
          <w:trHeight w:val="161"/>
        </w:trPr>
        <w:tc>
          <w:tcPr>
            <w:tcW w:w="177"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384" w:type="pct"/>
            <w:tcBorders>
              <w:top w:val="nil"/>
              <w:left w:val="nil"/>
              <w:bottom w:val="nil"/>
            </w:tcBorders>
            <w:shd w:val="clear" w:color="auto" w:fill="auto"/>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2098" w:type="pct"/>
            <w:tcBorders>
              <w:top w:val="single" w:sz="8" w:space="0" w:color="auto"/>
              <w:bottom w:val="single" w:sz="8" w:space="0" w:color="000000"/>
            </w:tcBorders>
            <w:shd w:val="clear" w:color="000000" w:fill="FFFFFF"/>
            <w:vAlign w:val="center"/>
            <w:hideMark/>
          </w:tcPr>
          <w:p w:rsidR="00223252" w:rsidRPr="00223252" w:rsidRDefault="00223252" w:rsidP="00223252">
            <w:pPr>
              <w:spacing w:after="0" w:line="240" w:lineRule="auto"/>
              <w:jc w:val="both"/>
              <w:rPr>
                <w:rFonts w:ascii="Arial" w:eastAsia="Times New Roman" w:hAnsi="Arial" w:cs="Arial"/>
                <w:sz w:val="16"/>
                <w:szCs w:val="16"/>
                <w:lang w:eastAsia="en-GB"/>
              </w:rPr>
            </w:pPr>
          </w:p>
        </w:tc>
        <w:tc>
          <w:tcPr>
            <w:tcW w:w="2341" w:type="pct"/>
            <w:tcBorders>
              <w:top w:val="single" w:sz="8" w:space="0" w:color="auto"/>
              <w:bottom w:val="single" w:sz="8" w:space="0" w:color="auto"/>
              <w:right w:val="single" w:sz="8" w:space="0" w:color="auto"/>
            </w:tcBorders>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1024"/>
        </w:trPr>
        <w:tc>
          <w:tcPr>
            <w:tcW w:w="177" w:type="pct"/>
            <w:tcBorders>
              <w:top w:val="nil"/>
              <w:left w:val="nil"/>
              <w:bottom w:val="nil"/>
              <w:right w:val="nil"/>
            </w:tcBorders>
            <w:shd w:val="clear" w:color="000000" w:fill="538ED5"/>
            <w:vAlign w:val="center"/>
            <w:hideMark/>
          </w:tcPr>
          <w:p w:rsidR="00223252" w:rsidRPr="00223252" w:rsidRDefault="00223252" w:rsidP="00223252">
            <w:pPr>
              <w:spacing w:after="0" w:line="240" w:lineRule="auto"/>
              <w:jc w:val="center"/>
              <w:rPr>
                <w:rFonts w:ascii="Arial" w:eastAsia="Times New Roman" w:hAnsi="Arial" w:cs="Arial"/>
                <w:color w:val="FFFFFF"/>
                <w:sz w:val="36"/>
                <w:szCs w:val="36"/>
                <w:lang w:eastAsia="en-GB"/>
              </w:rPr>
            </w:pPr>
            <w:r w:rsidRPr="00223252">
              <w:rPr>
                <w:rFonts w:ascii="Arial" w:eastAsia="Times New Roman" w:hAnsi="Arial" w:cs="Arial"/>
                <w:color w:val="FFFFFF"/>
                <w:sz w:val="36"/>
                <w:szCs w:val="36"/>
                <w:lang w:eastAsia="en-GB"/>
              </w:rPr>
              <w:t>3</w:t>
            </w:r>
          </w:p>
        </w:tc>
        <w:tc>
          <w:tcPr>
            <w:tcW w:w="3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2098" w:type="pct"/>
            <w:tcBorders>
              <w:top w:val="single" w:sz="8" w:space="0" w:color="auto"/>
              <w:left w:val="single" w:sz="4" w:space="0" w:color="auto"/>
              <w:bottom w:val="single" w:sz="8" w:space="0" w:color="000000"/>
              <w:right w:val="single" w:sz="8" w:space="0" w:color="auto"/>
            </w:tcBorders>
            <w:shd w:val="clear" w:color="000000" w:fill="FFFFFF"/>
            <w:vAlign w:val="center"/>
            <w:hideMark/>
          </w:tcPr>
          <w:p w:rsidR="00223252" w:rsidRPr="00223252" w:rsidRDefault="00223252" w:rsidP="00223252">
            <w:pPr>
              <w:spacing w:after="0" w:line="240" w:lineRule="auto"/>
              <w:jc w:val="center"/>
              <w:rPr>
                <w:rFonts w:ascii="Arial" w:eastAsia="Times New Roman" w:hAnsi="Arial" w:cs="Arial"/>
                <w:sz w:val="24"/>
                <w:szCs w:val="24"/>
                <w:lang w:eastAsia="en-GB"/>
              </w:rPr>
            </w:pPr>
            <w:r w:rsidRPr="00223252">
              <w:rPr>
                <w:rFonts w:ascii="Arial" w:eastAsia="Times New Roman" w:hAnsi="Arial" w:cs="Arial"/>
                <w:color w:val="000000"/>
                <w:sz w:val="24"/>
                <w:szCs w:val="24"/>
                <w:lang w:eastAsia="en-GB"/>
              </w:rPr>
              <w:t>All other local and national measurement for quality improvement and performance management.</w:t>
            </w:r>
          </w:p>
        </w:tc>
        <w:tc>
          <w:tcPr>
            <w:tcW w:w="2341" w:type="pct"/>
            <w:tcBorders>
              <w:top w:val="single" w:sz="8" w:space="0" w:color="auto"/>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E0009E" w:rsidRDefault="00E0009E" w:rsidP="00DD1639">
      <w:pPr>
        <w:pStyle w:val="StandardParagrpah"/>
      </w:pPr>
    </w:p>
    <w:p w:rsidR="005E7033" w:rsidRDefault="005E7033">
      <w:pPr>
        <w:rPr>
          <w:rFonts w:ascii="Arial" w:hAnsi="Arial" w:cs="Arial"/>
          <w:sz w:val="24"/>
        </w:rPr>
      </w:pPr>
      <w:r>
        <w:br w:type="page"/>
      </w:r>
    </w:p>
    <w:tbl>
      <w:tblPr>
        <w:tblW w:w="5000" w:type="pct"/>
        <w:tblLook w:val="04A0"/>
      </w:tblPr>
      <w:tblGrid>
        <w:gridCol w:w="488"/>
        <w:gridCol w:w="1137"/>
        <w:gridCol w:w="714"/>
        <w:gridCol w:w="4527"/>
        <w:gridCol w:w="714"/>
        <w:gridCol w:w="6594"/>
      </w:tblGrid>
      <w:tr w:rsidR="00223252" w:rsidRPr="00223252" w:rsidTr="00C544CD">
        <w:trPr>
          <w:trHeight w:val="499"/>
        </w:trPr>
        <w:tc>
          <w:tcPr>
            <w:tcW w:w="5000" w:type="pct"/>
            <w:gridSpan w:val="6"/>
            <w:tcBorders>
              <w:top w:val="nil"/>
              <w:left w:val="nil"/>
              <w:bottom w:val="nil"/>
              <w:right w:val="nil"/>
            </w:tcBorders>
            <w:shd w:val="clear" w:color="000000" w:fill="31849B" w:themeFill="accent5" w:themeFillShade="BF"/>
            <w:noWrap/>
            <w:vAlign w:val="bottom"/>
            <w:hideMark/>
          </w:tcPr>
          <w:p w:rsidR="00223252" w:rsidRPr="00223252" w:rsidRDefault="00223252" w:rsidP="00223252">
            <w:pPr>
              <w:spacing w:after="0" w:line="240" w:lineRule="auto"/>
              <w:jc w:val="center"/>
              <w:rPr>
                <w:rFonts w:ascii="Arial" w:eastAsia="Times New Roman" w:hAnsi="Arial" w:cs="Arial"/>
                <w:b/>
                <w:bCs/>
                <w:color w:val="FFFFFF"/>
                <w:sz w:val="40"/>
                <w:szCs w:val="40"/>
                <w:lang w:eastAsia="en-GB"/>
              </w:rPr>
            </w:pPr>
            <w:r w:rsidRPr="00223252">
              <w:rPr>
                <w:rFonts w:ascii="Arial" w:eastAsia="Times New Roman" w:hAnsi="Arial" w:cs="Arial"/>
                <w:b/>
                <w:bCs/>
                <w:color w:val="FFFFFF"/>
                <w:sz w:val="40"/>
                <w:szCs w:val="40"/>
                <w:lang w:eastAsia="en-GB"/>
              </w:rPr>
              <w:lastRenderedPageBreak/>
              <w:t>Safe</w:t>
            </w:r>
          </w:p>
        </w:tc>
      </w:tr>
      <w:tr w:rsidR="00223252" w:rsidRPr="00223252" w:rsidTr="00C544CD">
        <w:trPr>
          <w:trHeight w:val="206"/>
        </w:trPr>
        <w:tc>
          <w:tcPr>
            <w:tcW w:w="172"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401"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252"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1849" w:type="pct"/>
            <w:gridSpan w:val="2"/>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2326" w:type="pct"/>
            <w:tcBorders>
              <w:top w:val="nil"/>
              <w:left w:val="nil"/>
              <w:bottom w:val="nil"/>
              <w:right w:val="nil"/>
            </w:tcBorders>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r>
      <w:tr w:rsidR="00223252" w:rsidRPr="00223252" w:rsidTr="00C544CD">
        <w:trPr>
          <w:trHeight w:val="1310"/>
        </w:trPr>
        <w:tc>
          <w:tcPr>
            <w:tcW w:w="172" w:type="pct"/>
            <w:tcBorders>
              <w:top w:val="nil"/>
              <w:left w:val="nil"/>
              <w:bottom w:val="nil"/>
              <w:right w:val="nil"/>
            </w:tcBorders>
            <w:shd w:val="clear" w:color="000000" w:fill="002060"/>
            <w:noWrap/>
            <w:vAlign w:val="center"/>
            <w:hideMark/>
          </w:tcPr>
          <w:p w:rsidR="00223252" w:rsidRPr="00223252" w:rsidRDefault="00223252" w:rsidP="00223252">
            <w:pPr>
              <w:spacing w:after="0" w:line="240" w:lineRule="auto"/>
              <w:jc w:val="center"/>
              <w:rPr>
                <w:rFonts w:ascii="Arial" w:eastAsia="Times New Roman" w:hAnsi="Arial" w:cs="Arial"/>
                <w:color w:val="FFFFFF"/>
                <w:sz w:val="24"/>
                <w:szCs w:val="24"/>
                <w:lang w:eastAsia="en-GB"/>
              </w:rPr>
            </w:pPr>
            <w:r w:rsidRPr="00223252">
              <w:rPr>
                <w:rFonts w:ascii="Arial" w:eastAsia="Times New Roman" w:hAnsi="Arial" w:cs="Arial"/>
                <w:color w:val="FFFFFF"/>
                <w:sz w:val="24"/>
                <w:szCs w:val="24"/>
                <w:lang w:eastAsia="en-GB"/>
              </w:rPr>
              <w:t> </w:t>
            </w:r>
          </w:p>
        </w:tc>
        <w:tc>
          <w:tcPr>
            <w:tcW w:w="401"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26"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Improves safety in the healthcare environment - building on the Scottish Patient Safety Programme in Acute Care, Primary Care, Maternity Services, Paediatrics and Mental Health Care.</w:t>
            </w:r>
          </w:p>
        </w:tc>
      </w:tr>
      <w:tr w:rsidR="00223252" w:rsidRPr="00223252" w:rsidTr="00C544CD">
        <w:trPr>
          <w:trHeight w:val="208"/>
        </w:trPr>
        <w:tc>
          <w:tcPr>
            <w:tcW w:w="172" w:type="pct"/>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Calibri" w:eastAsia="Times New Roman" w:hAnsi="Calibri" w:cs="Times New Roman"/>
                <w:color w:val="000000"/>
                <w:sz w:val="16"/>
                <w:szCs w:val="16"/>
                <w:lang w:eastAsia="en-GB"/>
              </w:rPr>
            </w:pPr>
          </w:p>
        </w:tc>
        <w:tc>
          <w:tcPr>
            <w:tcW w:w="401" w:type="pct"/>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16"/>
                <w:szCs w:val="16"/>
                <w:lang w:eastAsia="en-GB"/>
              </w:rPr>
            </w:pPr>
          </w:p>
        </w:tc>
        <w:tc>
          <w:tcPr>
            <w:tcW w:w="1849" w:type="pct"/>
            <w:gridSpan w:val="2"/>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577" w:type="pct"/>
            <w:gridSpan w:val="2"/>
            <w:tcBorders>
              <w:top w:val="nil"/>
              <w:left w:val="nil"/>
              <w:bottom w:val="nil"/>
              <w:right w:val="nil"/>
            </w:tcBorders>
            <w:vAlign w:val="center"/>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223252" w:rsidRPr="00223252" w:rsidTr="00C544CD">
        <w:trPr>
          <w:trHeight w:val="315"/>
        </w:trPr>
        <w:tc>
          <w:tcPr>
            <w:tcW w:w="172" w:type="pct"/>
            <w:vMerge w:val="restart"/>
            <w:tcBorders>
              <w:top w:val="nil"/>
              <w:left w:val="nil"/>
              <w:bottom w:val="nil"/>
              <w:right w:val="single" w:sz="8" w:space="0" w:color="auto"/>
            </w:tcBorders>
            <w:shd w:val="clear" w:color="000000" w:fill="17375D"/>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4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1849" w:type="pct"/>
            <w:gridSpan w:val="2"/>
            <w:tcBorders>
              <w:top w:val="single" w:sz="8"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Healthcare Associated Infection</w:t>
            </w:r>
          </w:p>
        </w:tc>
        <w:tc>
          <w:tcPr>
            <w:tcW w:w="2577" w:type="pct"/>
            <w:gridSpan w:val="2"/>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prevalence in acute hospitals</w:t>
            </w:r>
          </w:p>
        </w:tc>
      </w:tr>
      <w:tr w:rsidR="00223252" w:rsidRPr="00223252" w:rsidTr="00C544CD">
        <w:trPr>
          <w:trHeight w:val="315"/>
        </w:trPr>
        <w:tc>
          <w:tcPr>
            <w:tcW w:w="172"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adverse harmful events</w:t>
            </w:r>
          </w:p>
        </w:tc>
        <w:tc>
          <w:tcPr>
            <w:tcW w:w="2577" w:type="pct"/>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223252" w:rsidRPr="00223252" w:rsidTr="00C544CD">
        <w:trPr>
          <w:trHeight w:val="315"/>
        </w:trPr>
        <w:tc>
          <w:tcPr>
            <w:tcW w:w="172"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Hospital Standardised Mortality ratio</w:t>
            </w:r>
          </w:p>
        </w:tc>
        <w:tc>
          <w:tcPr>
            <w:tcW w:w="2577" w:type="pct"/>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per 100,000 for people aged under 75 in Scotland</w:t>
            </w:r>
          </w:p>
        </w:tc>
      </w:tr>
      <w:tr w:rsidR="00223252" w:rsidRPr="00223252" w:rsidTr="00C544CD">
        <w:trPr>
          <w:trHeight w:val="330"/>
        </w:trPr>
        <w:tc>
          <w:tcPr>
            <w:tcW w:w="172"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safety of people receiving care and support</w:t>
            </w:r>
          </w:p>
        </w:tc>
        <w:tc>
          <w:tcPr>
            <w:tcW w:w="2577" w:type="pct"/>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supported at home who agree they felt safe</w:t>
            </w:r>
          </w:p>
        </w:tc>
      </w:tr>
      <w:tr w:rsidR="00223252" w:rsidRPr="00223252" w:rsidTr="00C544CD">
        <w:trPr>
          <w:trHeight w:val="151"/>
        </w:trPr>
        <w:tc>
          <w:tcPr>
            <w:tcW w:w="172"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Arial" w:eastAsia="Times New Roman" w:hAnsi="Arial" w:cs="Arial"/>
                <w:b/>
                <w:color w:val="000000"/>
                <w:sz w:val="16"/>
                <w:szCs w:val="16"/>
                <w:lang w:eastAsia="en-GB"/>
              </w:rPr>
            </w:pPr>
          </w:p>
        </w:tc>
        <w:tc>
          <w:tcPr>
            <w:tcW w:w="401"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1849" w:type="pct"/>
            <w:gridSpan w:val="2"/>
            <w:tcBorders>
              <w:top w:val="nil"/>
              <w:left w:val="nil"/>
              <w:bottom w:val="nil"/>
              <w:right w:val="nil"/>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2577" w:type="pct"/>
            <w:gridSpan w:val="2"/>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360"/>
        </w:trPr>
        <w:tc>
          <w:tcPr>
            <w:tcW w:w="172" w:type="pct"/>
            <w:vMerge w:val="restart"/>
            <w:tcBorders>
              <w:top w:val="nil"/>
              <w:left w:val="nil"/>
              <w:bottom w:val="nil"/>
              <w:right w:val="nil"/>
            </w:tcBorders>
            <w:shd w:val="clear" w:color="000000" w:fill="376091"/>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4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1849" w:type="pct"/>
            <w:gridSpan w:val="2"/>
            <w:tcBorders>
              <w:top w:val="single" w:sz="8"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statutory compliance</w:t>
            </w:r>
          </w:p>
        </w:tc>
        <w:tc>
          <w:tcPr>
            <w:tcW w:w="2577" w:type="pct"/>
            <w:gridSpan w:val="2"/>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Overall percentage compliance score from SCART</w:t>
            </w:r>
          </w:p>
        </w:tc>
      </w:tr>
      <w:tr w:rsidR="00223252" w:rsidRPr="00223252" w:rsidTr="00C544CD">
        <w:trPr>
          <w:trHeight w:val="330"/>
        </w:trPr>
        <w:tc>
          <w:tcPr>
            <w:tcW w:w="172"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backlog maintenance</w:t>
            </w:r>
          </w:p>
        </w:tc>
        <w:tc>
          <w:tcPr>
            <w:tcW w:w="2577" w:type="pct"/>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Reduction in backlog maintenance costs</w:t>
            </w:r>
          </w:p>
        </w:tc>
      </w:tr>
      <w:tr w:rsidR="00223252" w:rsidRPr="00223252" w:rsidTr="00C544CD">
        <w:trPr>
          <w:trHeight w:val="420"/>
        </w:trPr>
        <w:tc>
          <w:tcPr>
            <w:tcW w:w="172"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Reduces significant and high risk backlog maintenance </w:t>
            </w:r>
          </w:p>
        </w:tc>
        <w:tc>
          <w:tcPr>
            <w:tcW w:w="2577" w:type="pct"/>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Significant &amp; high risk backlog as percentage of total backlog</w:t>
            </w:r>
          </w:p>
        </w:tc>
      </w:tr>
      <w:tr w:rsidR="00223252" w:rsidRPr="00223252" w:rsidTr="00C544CD">
        <w:trPr>
          <w:trHeight w:val="75"/>
        </w:trPr>
        <w:tc>
          <w:tcPr>
            <w:tcW w:w="172"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tcBorders>
              <w:top w:val="nil"/>
              <w:left w:val="nil"/>
              <w:bottom w:val="nil"/>
              <w:right w:val="nil"/>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16"/>
                <w:szCs w:val="16"/>
                <w:lang w:eastAsia="en-GB"/>
              </w:rPr>
            </w:pPr>
          </w:p>
        </w:tc>
        <w:tc>
          <w:tcPr>
            <w:tcW w:w="1849" w:type="pct"/>
            <w:gridSpan w:val="2"/>
            <w:tcBorders>
              <w:top w:val="nil"/>
              <w:left w:val="nil"/>
              <w:bottom w:val="nil"/>
              <w:right w:val="nil"/>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color w:val="000000"/>
                <w:sz w:val="16"/>
                <w:szCs w:val="16"/>
                <w:lang w:eastAsia="en-GB"/>
              </w:rPr>
            </w:pPr>
          </w:p>
        </w:tc>
        <w:tc>
          <w:tcPr>
            <w:tcW w:w="2577" w:type="pct"/>
            <w:gridSpan w:val="2"/>
            <w:tcBorders>
              <w:top w:val="nil"/>
              <w:left w:val="nil"/>
              <w:bottom w:val="nil"/>
              <w:right w:val="nil"/>
            </w:tcBorders>
            <w:vAlign w:val="center"/>
          </w:tcPr>
          <w:p w:rsidR="00223252" w:rsidRPr="00223252" w:rsidRDefault="00223252" w:rsidP="00223252">
            <w:pPr>
              <w:spacing w:after="0" w:line="240" w:lineRule="auto"/>
              <w:jc w:val="center"/>
              <w:rPr>
                <w:rFonts w:ascii="Arial" w:eastAsia="Times New Roman" w:hAnsi="Arial" w:cs="Arial"/>
                <w:color w:val="000000"/>
                <w:sz w:val="16"/>
                <w:szCs w:val="16"/>
                <w:lang w:eastAsia="en-GB"/>
              </w:rPr>
            </w:pPr>
          </w:p>
        </w:tc>
      </w:tr>
      <w:tr w:rsidR="00223252" w:rsidRPr="00223252" w:rsidTr="00C544CD">
        <w:trPr>
          <w:trHeight w:val="300"/>
        </w:trPr>
        <w:tc>
          <w:tcPr>
            <w:tcW w:w="172"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1849" w:type="pct"/>
            <w:gridSpan w:val="2"/>
            <w:tcBorders>
              <w:top w:val="single" w:sz="8"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Reduces </w:t>
            </w:r>
            <w:proofErr w:type="spellStart"/>
            <w:r w:rsidRPr="00223252">
              <w:rPr>
                <w:rFonts w:ascii="Arial" w:eastAsia="Times New Roman" w:hAnsi="Arial" w:cs="Arial"/>
                <w:color w:val="000000"/>
                <w:lang w:eastAsia="en-GB"/>
              </w:rPr>
              <w:t>C.Difficile</w:t>
            </w:r>
            <w:proofErr w:type="spellEnd"/>
            <w:r w:rsidRPr="00223252">
              <w:rPr>
                <w:rFonts w:ascii="Arial" w:eastAsia="Times New Roman" w:hAnsi="Arial" w:cs="Arial"/>
                <w:color w:val="000000"/>
                <w:lang w:eastAsia="en-GB"/>
              </w:rPr>
              <w:t xml:space="preserve"> Infections</w:t>
            </w:r>
          </w:p>
        </w:tc>
        <w:tc>
          <w:tcPr>
            <w:tcW w:w="2577" w:type="pct"/>
            <w:gridSpan w:val="2"/>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cases per 1,000 acute occupied bed days</w:t>
            </w:r>
          </w:p>
        </w:tc>
      </w:tr>
      <w:tr w:rsidR="00223252" w:rsidRPr="00223252" w:rsidTr="00C544CD">
        <w:trPr>
          <w:trHeight w:val="315"/>
        </w:trPr>
        <w:tc>
          <w:tcPr>
            <w:tcW w:w="172"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MRSA/MSSA Infections</w:t>
            </w:r>
          </w:p>
        </w:tc>
        <w:tc>
          <w:tcPr>
            <w:tcW w:w="2577" w:type="pct"/>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cases per 1,000 acute occupied bed days</w:t>
            </w:r>
          </w:p>
        </w:tc>
      </w:tr>
      <w:tr w:rsidR="00223252" w:rsidRPr="00223252" w:rsidTr="00C544CD">
        <w:trPr>
          <w:trHeight w:val="161"/>
        </w:trPr>
        <w:tc>
          <w:tcPr>
            <w:tcW w:w="172"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Arial" w:eastAsia="Times New Roman" w:hAnsi="Arial" w:cs="Arial"/>
                <w:b/>
                <w:color w:val="000000"/>
                <w:sz w:val="16"/>
                <w:szCs w:val="16"/>
                <w:lang w:eastAsia="en-GB"/>
              </w:rPr>
            </w:pPr>
          </w:p>
        </w:tc>
        <w:tc>
          <w:tcPr>
            <w:tcW w:w="401" w:type="pct"/>
            <w:tcBorders>
              <w:top w:val="nil"/>
              <w:left w:val="nil"/>
              <w:bottom w:val="nil"/>
              <w:right w:val="nil"/>
            </w:tcBorders>
            <w:shd w:val="clear" w:color="auto" w:fill="auto"/>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252" w:type="pct"/>
            <w:tcBorders>
              <w:top w:val="nil"/>
              <w:left w:val="nil"/>
              <w:bottom w:val="nil"/>
              <w:right w:val="nil"/>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1849" w:type="pct"/>
            <w:gridSpan w:val="2"/>
            <w:tcBorders>
              <w:top w:val="nil"/>
              <w:left w:val="nil"/>
              <w:bottom w:val="nil"/>
              <w:right w:val="nil"/>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2326" w:type="pct"/>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1088"/>
        </w:trPr>
        <w:tc>
          <w:tcPr>
            <w:tcW w:w="172" w:type="pct"/>
            <w:tcBorders>
              <w:top w:val="nil"/>
              <w:left w:val="nil"/>
              <w:bottom w:val="nil"/>
              <w:right w:val="nil"/>
            </w:tcBorders>
            <w:shd w:val="clear" w:color="000000" w:fill="538ED5"/>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4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184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2577" w:type="pct"/>
            <w:gridSpan w:val="2"/>
            <w:tcBorders>
              <w:top w:val="single" w:sz="8" w:space="0" w:color="auto"/>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5E7033" w:rsidRDefault="005E7033" w:rsidP="00DD1639">
      <w:pPr>
        <w:pStyle w:val="StandardParagrpah"/>
      </w:pPr>
    </w:p>
    <w:p w:rsidR="005E7033" w:rsidRDefault="005E7033">
      <w:pPr>
        <w:rPr>
          <w:rFonts w:ascii="Arial" w:hAnsi="Arial" w:cs="Arial"/>
          <w:sz w:val="24"/>
        </w:rPr>
      </w:pPr>
      <w:r>
        <w:br w:type="page"/>
      </w:r>
    </w:p>
    <w:tbl>
      <w:tblPr>
        <w:tblW w:w="5000" w:type="pct"/>
        <w:tblLayout w:type="fixed"/>
        <w:tblLook w:val="04A0"/>
      </w:tblPr>
      <w:tblGrid>
        <w:gridCol w:w="486"/>
        <w:gridCol w:w="1182"/>
        <w:gridCol w:w="422"/>
        <w:gridCol w:w="5420"/>
        <w:gridCol w:w="621"/>
        <w:gridCol w:w="6032"/>
        <w:gridCol w:w="11"/>
      </w:tblGrid>
      <w:tr w:rsidR="00223252" w:rsidRPr="00223252" w:rsidTr="00C544CD">
        <w:trPr>
          <w:trHeight w:val="499"/>
        </w:trPr>
        <w:tc>
          <w:tcPr>
            <w:tcW w:w="5000" w:type="pct"/>
            <w:gridSpan w:val="7"/>
            <w:tcBorders>
              <w:top w:val="single" w:sz="8" w:space="0" w:color="auto"/>
              <w:left w:val="single" w:sz="8" w:space="0" w:color="auto"/>
              <w:bottom w:val="single" w:sz="8" w:space="0" w:color="auto"/>
              <w:right w:val="single" w:sz="8" w:space="0" w:color="000000"/>
            </w:tcBorders>
            <w:shd w:val="clear" w:color="000000" w:fill="31849B" w:themeFill="accent5" w:themeFillShade="BF"/>
          </w:tcPr>
          <w:p w:rsidR="00223252" w:rsidRPr="00223252" w:rsidRDefault="00223252" w:rsidP="00223252">
            <w:pPr>
              <w:spacing w:after="0" w:line="240" w:lineRule="auto"/>
              <w:jc w:val="center"/>
              <w:rPr>
                <w:rFonts w:ascii="Arial" w:eastAsia="Times New Roman" w:hAnsi="Arial" w:cs="Arial"/>
                <w:b/>
                <w:bCs/>
                <w:color w:val="FFFFFF"/>
                <w:sz w:val="40"/>
                <w:szCs w:val="40"/>
                <w:lang w:eastAsia="en-GB"/>
              </w:rPr>
            </w:pPr>
            <w:r w:rsidRPr="00223252">
              <w:rPr>
                <w:rFonts w:ascii="Arial" w:eastAsia="Times New Roman" w:hAnsi="Arial" w:cs="Arial"/>
                <w:b/>
                <w:bCs/>
                <w:color w:val="FFFFFF"/>
                <w:sz w:val="40"/>
                <w:szCs w:val="40"/>
                <w:lang w:eastAsia="en-GB"/>
              </w:rPr>
              <w:lastRenderedPageBreak/>
              <w:t>Effective Quality of Care</w:t>
            </w:r>
          </w:p>
        </w:tc>
      </w:tr>
      <w:tr w:rsidR="00223252" w:rsidRPr="00223252" w:rsidTr="00C544CD">
        <w:trPr>
          <w:trHeight w:val="50"/>
        </w:trPr>
        <w:tc>
          <w:tcPr>
            <w:tcW w:w="171"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417"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149"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2131" w:type="pct"/>
            <w:gridSpan w:val="2"/>
            <w:tcBorders>
              <w:top w:val="nil"/>
              <w:left w:val="nil"/>
              <w:bottom w:val="nil"/>
              <w:right w:val="nil"/>
            </w:tcBorders>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2132" w:type="pct"/>
            <w:gridSpan w:val="2"/>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r>
      <w:tr w:rsidR="00223252" w:rsidRPr="00223252" w:rsidTr="00C544CD">
        <w:trPr>
          <w:gridAfter w:val="1"/>
          <w:wAfter w:w="4" w:type="pct"/>
          <w:trHeight w:val="1268"/>
        </w:trPr>
        <w:tc>
          <w:tcPr>
            <w:tcW w:w="171" w:type="pct"/>
            <w:tcBorders>
              <w:top w:val="nil"/>
              <w:left w:val="nil"/>
              <w:bottom w:val="nil"/>
              <w:right w:val="nil"/>
            </w:tcBorders>
            <w:shd w:val="clear" w:color="000000" w:fill="002060"/>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 </w:t>
            </w:r>
          </w:p>
        </w:tc>
        <w:tc>
          <w:tcPr>
            <w:tcW w:w="4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08"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Improves the effective Quality of Care particularly focused on increasing the role of primary care, integrating health and social care, improving the delivery of unscheduled and emergency care, and improving the current approach to supporting and treating people who have multiple and chronic illnesses</w:t>
            </w:r>
          </w:p>
        </w:tc>
      </w:tr>
      <w:tr w:rsidR="00223252" w:rsidRPr="00223252" w:rsidTr="00C544CD">
        <w:trPr>
          <w:gridAfter w:val="1"/>
          <w:wAfter w:w="4" w:type="pct"/>
          <w:trHeight w:val="123"/>
        </w:trPr>
        <w:tc>
          <w:tcPr>
            <w:tcW w:w="171" w:type="pct"/>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color w:val="000000"/>
                <w:sz w:val="16"/>
                <w:szCs w:val="16"/>
                <w:lang w:eastAsia="en-GB"/>
              </w:rPr>
            </w:pPr>
          </w:p>
        </w:tc>
        <w:tc>
          <w:tcPr>
            <w:tcW w:w="417" w:type="pct"/>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Calibri" w:eastAsia="Times New Roman" w:hAnsi="Calibri" w:cs="Times New Roman"/>
                <w:color w:val="000000"/>
                <w:sz w:val="16"/>
                <w:szCs w:val="16"/>
                <w:lang w:eastAsia="en-GB"/>
              </w:rPr>
            </w:pPr>
          </w:p>
        </w:tc>
        <w:tc>
          <w:tcPr>
            <w:tcW w:w="2061" w:type="pct"/>
            <w:gridSpan w:val="2"/>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347" w:type="pct"/>
            <w:gridSpan w:val="2"/>
            <w:tcBorders>
              <w:top w:val="nil"/>
              <w:left w:val="nil"/>
              <w:bottom w:val="nil"/>
              <w:right w:val="nil"/>
            </w:tcBorders>
            <w:vAlign w:val="center"/>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223252" w:rsidRPr="00223252" w:rsidTr="00C544CD">
        <w:trPr>
          <w:gridAfter w:val="1"/>
          <w:wAfter w:w="4" w:type="pct"/>
          <w:trHeight w:val="315"/>
        </w:trPr>
        <w:tc>
          <w:tcPr>
            <w:tcW w:w="171" w:type="pct"/>
            <w:vMerge w:val="restart"/>
            <w:tcBorders>
              <w:top w:val="nil"/>
              <w:left w:val="nil"/>
              <w:bottom w:val="nil"/>
              <w:right w:val="single" w:sz="8" w:space="0" w:color="auto"/>
            </w:tcBorders>
            <w:shd w:val="clear" w:color="000000" w:fill="17375D"/>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2061" w:type="pct"/>
            <w:gridSpan w:val="2"/>
            <w:tcBorders>
              <w:top w:val="single" w:sz="8" w:space="0" w:color="auto"/>
              <w:left w:val="nil"/>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end of life care to be as comfortable as possible in a homely environment</w:t>
            </w:r>
          </w:p>
        </w:tc>
        <w:tc>
          <w:tcPr>
            <w:tcW w:w="2347" w:type="pct"/>
            <w:gridSpan w:val="2"/>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people who spend last 12 months of life at home or in a community setting</w:t>
            </w:r>
          </w:p>
        </w:tc>
      </w:tr>
      <w:tr w:rsidR="00223252" w:rsidRPr="00223252" w:rsidTr="00C544CD">
        <w:trPr>
          <w:gridAfter w:val="1"/>
          <w:wAfter w:w="4" w:type="pct"/>
          <w:trHeight w:val="315"/>
        </w:trPr>
        <w:tc>
          <w:tcPr>
            <w:tcW w:w="171"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nil"/>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emergency admissions to hospital</w:t>
            </w:r>
          </w:p>
        </w:tc>
        <w:tc>
          <w:tcPr>
            <w:tcW w:w="2347" w:type="pct"/>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of emergency admissions per 100,000 population</w:t>
            </w:r>
          </w:p>
        </w:tc>
      </w:tr>
      <w:tr w:rsidR="00223252" w:rsidRPr="00223252" w:rsidTr="00C544CD">
        <w:trPr>
          <w:gridAfter w:val="1"/>
          <w:wAfter w:w="4" w:type="pct"/>
          <w:trHeight w:val="315"/>
        </w:trPr>
        <w:tc>
          <w:tcPr>
            <w:tcW w:w="171"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nil"/>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readmissions</w:t>
            </w:r>
          </w:p>
        </w:tc>
        <w:tc>
          <w:tcPr>
            <w:tcW w:w="2347" w:type="pct"/>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223252" w:rsidRPr="00223252" w:rsidTr="00C544CD">
        <w:trPr>
          <w:gridAfter w:val="1"/>
          <w:wAfter w:w="4" w:type="pct"/>
          <w:trHeight w:val="330"/>
        </w:trPr>
        <w:tc>
          <w:tcPr>
            <w:tcW w:w="171" w:type="pct"/>
            <w:vMerge/>
            <w:tcBorders>
              <w:top w:val="nil"/>
              <w:left w:val="nil"/>
              <w:bottom w:val="nil"/>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nil"/>
              <w:bottom w:val="single" w:sz="8"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Ensures timely discharge from hospital</w:t>
            </w:r>
          </w:p>
        </w:tc>
        <w:tc>
          <w:tcPr>
            <w:tcW w:w="2347" w:type="pct"/>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223252" w:rsidRPr="00223252" w:rsidTr="00C544CD">
        <w:trPr>
          <w:gridAfter w:val="1"/>
          <w:wAfter w:w="4" w:type="pct"/>
          <w:trHeight w:val="191"/>
        </w:trPr>
        <w:tc>
          <w:tcPr>
            <w:tcW w:w="171"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color w:val="000000"/>
                <w:sz w:val="16"/>
                <w:szCs w:val="16"/>
                <w:lang w:eastAsia="en-GB"/>
              </w:rPr>
            </w:pPr>
          </w:p>
        </w:tc>
        <w:tc>
          <w:tcPr>
            <w:tcW w:w="417"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2061" w:type="pct"/>
            <w:gridSpan w:val="2"/>
            <w:tcBorders>
              <w:top w:val="nil"/>
              <w:left w:val="nil"/>
              <w:bottom w:val="nil"/>
              <w:right w:val="nil"/>
            </w:tcBorders>
            <w:shd w:val="clear" w:color="auto" w:fill="auto"/>
            <w:noWrap/>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2347" w:type="pct"/>
            <w:gridSpan w:val="2"/>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gridAfter w:val="1"/>
          <w:wAfter w:w="4" w:type="pct"/>
          <w:trHeight w:val="405"/>
        </w:trPr>
        <w:tc>
          <w:tcPr>
            <w:tcW w:w="171" w:type="pct"/>
            <w:vMerge w:val="restart"/>
            <w:tcBorders>
              <w:top w:val="nil"/>
              <w:left w:val="nil"/>
              <w:bottom w:val="nil"/>
              <w:right w:val="nil"/>
            </w:tcBorders>
            <w:shd w:val="clear" w:color="000000" w:fill="376091"/>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41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2061"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the Functional Suitability of the Healthcare Estate</w:t>
            </w:r>
          </w:p>
        </w:tc>
        <w:tc>
          <w:tcPr>
            <w:tcW w:w="2347" w:type="pct"/>
            <w:gridSpan w:val="2"/>
            <w:tcBorders>
              <w:top w:val="single" w:sz="8" w:space="0" w:color="auto"/>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either A or B for the Functional Suitability appraisal facet</w:t>
            </w:r>
          </w:p>
        </w:tc>
      </w:tr>
      <w:tr w:rsidR="00223252" w:rsidRPr="00223252" w:rsidTr="00C544CD">
        <w:trPr>
          <w:gridAfter w:val="1"/>
          <w:wAfter w:w="4" w:type="pct"/>
          <w:trHeight w:val="173"/>
        </w:trPr>
        <w:tc>
          <w:tcPr>
            <w:tcW w:w="171"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2061" w:type="pct"/>
            <w:gridSpan w:val="2"/>
            <w:tcBorders>
              <w:top w:val="nil"/>
              <w:left w:val="nil"/>
              <w:bottom w:val="nil"/>
              <w:right w:val="nil"/>
            </w:tcBorders>
            <w:shd w:val="clear" w:color="auto" w:fill="auto"/>
            <w:noWrap/>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2347" w:type="pct"/>
            <w:gridSpan w:val="2"/>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gridAfter w:val="1"/>
          <w:wAfter w:w="4" w:type="pct"/>
          <w:trHeight w:val="300"/>
        </w:trPr>
        <w:tc>
          <w:tcPr>
            <w:tcW w:w="171"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2061" w:type="pct"/>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newly diagnosed Dementia patients with access to the range of post-diagnostic services</w:t>
            </w:r>
          </w:p>
        </w:tc>
        <w:tc>
          <w:tcPr>
            <w:tcW w:w="2347" w:type="pct"/>
            <w:gridSpan w:val="2"/>
            <w:tcBorders>
              <w:top w:val="single" w:sz="8" w:space="0" w:color="auto"/>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dementia patients given access to post-diagnostic services</w:t>
            </w:r>
          </w:p>
        </w:tc>
      </w:tr>
      <w:tr w:rsidR="00223252" w:rsidRPr="00223252" w:rsidTr="00C544CD">
        <w:trPr>
          <w:gridAfter w:val="1"/>
          <w:wAfter w:w="4" w:type="pct"/>
          <w:trHeight w:val="300"/>
        </w:trPr>
        <w:tc>
          <w:tcPr>
            <w:tcW w:w="171"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the rate of emergency inpatient bed days for people aged 75</w:t>
            </w:r>
          </w:p>
        </w:tc>
        <w:tc>
          <w:tcPr>
            <w:tcW w:w="2347"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Patients aged 75+ per 1,000 population –as a proportion of acute occupied emergency bed days</w:t>
            </w:r>
          </w:p>
        </w:tc>
      </w:tr>
      <w:tr w:rsidR="00223252" w:rsidRPr="00223252" w:rsidTr="00C544CD">
        <w:trPr>
          <w:gridAfter w:val="1"/>
          <w:wAfter w:w="4" w:type="pct"/>
          <w:trHeight w:val="600"/>
        </w:trPr>
        <w:tc>
          <w:tcPr>
            <w:tcW w:w="171"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Avoids people waiting more than 14 days to be discharged from hospital into a more appropriate care setting, once treatment is complete</w:t>
            </w:r>
          </w:p>
        </w:tc>
        <w:tc>
          <w:tcPr>
            <w:tcW w:w="2347"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discharges that took more than 14 days</w:t>
            </w:r>
          </w:p>
        </w:tc>
      </w:tr>
      <w:tr w:rsidR="00223252" w:rsidRPr="00223252" w:rsidTr="00C544CD">
        <w:trPr>
          <w:gridAfter w:val="1"/>
          <w:wAfter w:w="4" w:type="pct"/>
          <w:trHeight w:val="300"/>
        </w:trPr>
        <w:tc>
          <w:tcPr>
            <w:tcW w:w="171"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the rate of attendance at A&amp;E</w:t>
            </w:r>
          </w:p>
        </w:tc>
        <w:tc>
          <w:tcPr>
            <w:tcW w:w="2347"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unplanned A&amp;E attendances per 100,000 population</w:t>
            </w:r>
          </w:p>
        </w:tc>
      </w:tr>
      <w:tr w:rsidR="00223252" w:rsidRPr="00223252" w:rsidTr="00C544CD">
        <w:trPr>
          <w:gridAfter w:val="1"/>
          <w:wAfter w:w="4" w:type="pct"/>
          <w:trHeight w:val="300"/>
        </w:trPr>
        <w:tc>
          <w:tcPr>
            <w:tcW w:w="171"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Enables eligible patients commencing IVF treatment within 12 months</w:t>
            </w:r>
          </w:p>
        </w:tc>
        <w:tc>
          <w:tcPr>
            <w:tcW w:w="2347"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bl>
    <w:p w:rsidR="005E7033" w:rsidRDefault="005E7033" w:rsidP="00DD1639">
      <w:pPr>
        <w:pStyle w:val="StandardParagrpah"/>
      </w:pPr>
    </w:p>
    <w:tbl>
      <w:tblPr>
        <w:tblW w:w="4996" w:type="pct"/>
        <w:tblLayout w:type="fixed"/>
        <w:tblLook w:val="04A0"/>
      </w:tblPr>
      <w:tblGrid>
        <w:gridCol w:w="487"/>
        <w:gridCol w:w="1181"/>
        <w:gridCol w:w="5841"/>
        <w:gridCol w:w="6654"/>
      </w:tblGrid>
      <w:tr w:rsidR="00223252" w:rsidRPr="00223252" w:rsidTr="00C544CD">
        <w:trPr>
          <w:trHeight w:val="300"/>
        </w:trPr>
        <w:tc>
          <w:tcPr>
            <w:tcW w:w="172" w:type="pct"/>
            <w:vMerge w:val="restart"/>
            <w:tcBorders>
              <w:top w:val="single" w:sz="8" w:space="0" w:color="auto"/>
              <w:left w:val="single" w:sz="8" w:space="0" w:color="auto"/>
              <w:bottom w:val="single" w:sz="8" w:space="0" w:color="auto"/>
              <w:right w:val="nil"/>
            </w:tcBorders>
            <w:shd w:val="clear" w:color="auto" w:fill="1F497D" w:themeFill="text2"/>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val="restart"/>
            <w:tcBorders>
              <w:top w:val="single" w:sz="8" w:space="0" w:color="auto"/>
              <w:left w:val="single" w:sz="8" w:space="0" w:color="auto"/>
              <w:bottom w:val="single" w:sz="8" w:space="0" w:color="000000"/>
              <w:right w:val="nil"/>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Enables delivery of 18 weeks referral for treatment for Psychological Therapies.</w:t>
            </w:r>
          </w:p>
        </w:tc>
        <w:tc>
          <w:tcPr>
            <w:tcW w:w="2349" w:type="pct"/>
            <w:tcBorders>
              <w:top w:val="single" w:sz="8" w:space="0" w:color="auto"/>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223252" w:rsidRPr="00223252" w:rsidTr="00C544CD">
        <w:trPr>
          <w:trHeight w:val="600"/>
        </w:trPr>
        <w:tc>
          <w:tcPr>
            <w:tcW w:w="172" w:type="pct"/>
            <w:vMerge/>
            <w:tcBorders>
              <w:top w:val="single" w:sz="8" w:space="0" w:color="auto"/>
              <w:left w:val="single" w:sz="8" w:space="0" w:color="auto"/>
              <w:bottom w:val="single" w:sz="8" w:space="0" w:color="auto"/>
              <w:right w:val="nil"/>
            </w:tcBorders>
            <w:shd w:val="clear" w:color="auto" w:fill="1F497D" w:themeFill="text2"/>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Enables delivery of 18 weeks referral for treatment for specialist Child and Adolescent Mental Health Services (CAMHS) services</w:t>
            </w:r>
          </w:p>
        </w:tc>
        <w:tc>
          <w:tcPr>
            <w:tcW w:w="2349" w:type="pct"/>
            <w:tcBorders>
              <w:top w:val="single" w:sz="8" w:space="0" w:color="auto"/>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people who start treatment at CAMH services in Scotland within 18 weeks of referral</w:t>
            </w:r>
          </w:p>
        </w:tc>
      </w:tr>
      <w:tr w:rsidR="00223252" w:rsidRPr="00223252" w:rsidTr="00C544CD">
        <w:trPr>
          <w:trHeight w:val="615"/>
        </w:trPr>
        <w:tc>
          <w:tcPr>
            <w:tcW w:w="172" w:type="pct"/>
            <w:vMerge/>
            <w:tcBorders>
              <w:top w:val="single" w:sz="8" w:space="0" w:color="auto"/>
              <w:left w:val="single" w:sz="8" w:space="0" w:color="auto"/>
              <w:bottom w:val="single" w:sz="8" w:space="0" w:color="auto"/>
              <w:right w:val="nil"/>
            </w:tcBorders>
            <w:shd w:val="clear" w:color="auto" w:fill="1F497D" w:themeFill="text2"/>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2062" w:type="pct"/>
            <w:tcBorders>
              <w:top w:val="nil"/>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95% of patients waiting less than 4 hours from arrival to admission, discharge or transfer for accident and emergency treatment</w:t>
            </w:r>
          </w:p>
        </w:tc>
        <w:tc>
          <w:tcPr>
            <w:tcW w:w="2349" w:type="pct"/>
            <w:tcBorders>
              <w:top w:val="nil"/>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people waiting less than 4 hours at A&amp;E</w:t>
            </w:r>
          </w:p>
        </w:tc>
      </w:tr>
      <w:tr w:rsidR="00223252" w:rsidRPr="00223252" w:rsidTr="00C544CD">
        <w:trPr>
          <w:trHeight w:val="204"/>
        </w:trPr>
        <w:tc>
          <w:tcPr>
            <w:tcW w:w="172" w:type="pct"/>
            <w:tcBorders>
              <w:top w:val="single" w:sz="8" w:space="0" w:color="auto"/>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color w:val="000000"/>
                <w:sz w:val="16"/>
                <w:szCs w:val="16"/>
                <w:lang w:eastAsia="en-GB"/>
              </w:rPr>
            </w:pPr>
          </w:p>
        </w:tc>
        <w:tc>
          <w:tcPr>
            <w:tcW w:w="417"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2062" w:type="pct"/>
            <w:tcBorders>
              <w:top w:val="nil"/>
              <w:left w:val="nil"/>
              <w:bottom w:val="nil"/>
              <w:right w:val="nil"/>
            </w:tcBorders>
            <w:shd w:val="clear" w:color="auto" w:fill="auto"/>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2349" w:type="pct"/>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1350"/>
        </w:trPr>
        <w:tc>
          <w:tcPr>
            <w:tcW w:w="172" w:type="pct"/>
            <w:tcBorders>
              <w:top w:val="nil"/>
              <w:left w:val="nil"/>
              <w:bottom w:val="nil"/>
              <w:right w:val="nil"/>
            </w:tcBorders>
            <w:shd w:val="clear" w:color="000000" w:fill="538ED5"/>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41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20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2349" w:type="pct"/>
            <w:tcBorders>
              <w:top w:val="single" w:sz="8" w:space="0" w:color="auto"/>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5E7033" w:rsidRDefault="005E7033">
      <w:pPr>
        <w:rPr>
          <w:rFonts w:ascii="Arial" w:hAnsi="Arial" w:cs="Arial"/>
          <w:sz w:val="24"/>
        </w:rPr>
      </w:pPr>
      <w:r>
        <w:br w:type="page"/>
      </w:r>
    </w:p>
    <w:tbl>
      <w:tblPr>
        <w:tblW w:w="5001" w:type="pct"/>
        <w:tblLayout w:type="fixed"/>
        <w:tblLook w:val="04A0"/>
      </w:tblPr>
      <w:tblGrid>
        <w:gridCol w:w="499"/>
        <w:gridCol w:w="1163"/>
        <w:gridCol w:w="5109"/>
        <w:gridCol w:w="743"/>
        <w:gridCol w:w="6663"/>
      </w:tblGrid>
      <w:tr w:rsidR="00223252" w:rsidRPr="00223252" w:rsidTr="00C544CD">
        <w:trPr>
          <w:trHeight w:val="499"/>
        </w:trPr>
        <w:tc>
          <w:tcPr>
            <w:tcW w:w="5000" w:type="pct"/>
            <w:gridSpan w:val="5"/>
            <w:tcBorders>
              <w:top w:val="single" w:sz="8" w:space="0" w:color="auto"/>
              <w:left w:val="single" w:sz="8" w:space="0" w:color="auto"/>
              <w:bottom w:val="single" w:sz="8" w:space="0" w:color="auto"/>
              <w:right w:val="single" w:sz="8" w:space="0" w:color="000000"/>
            </w:tcBorders>
            <w:shd w:val="clear" w:color="000000" w:fill="31849B" w:themeFill="accent5" w:themeFillShade="BF"/>
          </w:tcPr>
          <w:p w:rsidR="00223252" w:rsidRPr="00223252" w:rsidRDefault="00223252" w:rsidP="00223252">
            <w:pPr>
              <w:spacing w:after="0" w:line="240" w:lineRule="auto"/>
              <w:jc w:val="center"/>
              <w:rPr>
                <w:rFonts w:ascii="Arial" w:eastAsia="Times New Roman" w:hAnsi="Arial" w:cs="Arial"/>
                <w:b/>
                <w:bCs/>
                <w:color w:val="FFFFFF" w:themeColor="background1"/>
                <w:sz w:val="40"/>
                <w:szCs w:val="40"/>
                <w:lang w:eastAsia="en-GB"/>
              </w:rPr>
            </w:pPr>
            <w:r w:rsidRPr="00223252">
              <w:rPr>
                <w:rFonts w:ascii="Arial" w:eastAsia="Times New Roman" w:hAnsi="Arial" w:cs="Arial"/>
                <w:b/>
                <w:bCs/>
                <w:color w:val="FFFFFF" w:themeColor="background1"/>
                <w:sz w:val="40"/>
                <w:szCs w:val="40"/>
                <w:lang w:eastAsia="en-GB"/>
              </w:rPr>
              <w:lastRenderedPageBreak/>
              <w:t>Health of Population</w:t>
            </w:r>
          </w:p>
        </w:tc>
      </w:tr>
      <w:tr w:rsidR="00223252" w:rsidRPr="00223252" w:rsidTr="00C544CD">
        <w:trPr>
          <w:trHeight w:val="172"/>
        </w:trPr>
        <w:tc>
          <w:tcPr>
            <w:tcW w:w="176"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410"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2064" w:type="pct"/>
            <w:gridSpan w:val="2"/>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Calibri" w:eastAsia="Times New Roman" w:hAnsi="Calibri" w:cs="Times New Roman"/>
                <w:color w:val="000000"/>
                <w:sz w:val="16"/>
                <w:szCs w:val="16"/>
                <w:lang w:eastAsia="en-GB"/>
              </w:rPr>
            </w:pPr>
          </w:p>
        </w:tc>
        <w:tc>
          <w:tcPr>
            <w:tcW w:w="2350" w:type="pct"/>
            <w:tcBorders>
              <w:top w:val="nil"/>
              <w:left w:val="nil"/>
              <w:bottom w:val="nil"/>
              <w:right w:val="nil"/>
            </w:tcBorders>
          </w:tcPr>
          <w:p w:rsidR="00223252" w:rsidRPr="00223252" w:rsidRDefault="00223252" w:rsidP="00223252">
            <w:pPr>
              <w:spacing w:after="0" w:line="240" w:lineRule="auto"/>
              <w:jc w:val="center"/>
              <w:rPr>
                <w:rFonts w:ascii="Calibri" w:eastAsia="Times New Roman" w:hAnsi="Calibri" w:cs="Times New Roman"/>
                <w:color w:val="000000"/>
                <w:sz w:val="16"/>
                <w:szCs w:val="16"/>
                <w:lang w:eastAsia="en-GB"/>
              </w:rPr>
            </w:pPr>
          </w:p>
        </w:tc>
      </w:tr>
      <w:tr w:rsidR="00223252" w:rsidRPr="00223252" w:rsidTr="00C544CD">
        <w:trPr>
          <w:cantSplit/>
          <w:trHeight w:val="1366"/>
        </w:trPr>
        <w:tc>
          <w:tcPr>
            <w:tcW w:w="176" w:type="pct"/>
            <w:tcBorders>
              <w:top w:val="nil"/>
              <w:left w:val="nil"/>
              <w:bottom w:val="nil"/>
              <w:right w:val="nil"/>
            </w:tcBorders>
            <w:shd w:val="clear" w:color="000000" w:fill="002060"/>
            <w:noWrap/>
            <w:vAlign w:val="center"/>
            <w:hideMark/>
          </w:tcPr>
          <w:p w:rsidR="00223252" w:rsidRPr="00223252" w:rsidRDefault="00223252" w:rsidP="00223252">
            <w:pPr>
              <w:spacing w:after="0" w:line="240" w:lineRule="auto"/>
              <w:jc w:val="center"/>
              <w:rPr>
                <w:rFonts w:ascii="Arial" w:eastAsia="Times New Roman" w:hAnsi="Arial" w:cs="Arial"/>
                <w:color w:val="FFFFFF"/>
                <w:sz w:val="36"/>
                <w:szCs w:val="36"/>
                <w:lang w:eastAsia="en-GB"/>
              </w:rPr>
            </w:pPr>
            <w:r w:rsidRPr="00223252">
              <w:rPr>
                <w:rFonts w:ascii="Arial" w:eastAsia="Times New Roman" w:hAnsi="Arial" w:cs="Arial"/>
                <w:color w:val="FFFFFF"/>
                <w:sz w:val="36"/>
                <w:szCs w:val="36"/>
                <w:lang w:eastAsia="en-GB"/>
              </w:rPr>
              <w:t> </w:t>
            </w:r>
          </w:p>
        </w:tc>
        <w:tc>
          <w:tcPr>
            <w:tcW w:w="410"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23252" w:rsidRPr="00223252" w:rsidRDefault="00223252" w:rsidP="00223252">
            <w:pPr>
              <w:spacing w:after="0" w:line="240" w:lineRule="auto"/>
              <w:ind w:left="113" w:right="113"/>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14"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Improves health of the population particularly focused on the importance of Early Years, reducing Health Inequalities, and preventative measures on alcohol, tobacco, dental health, physical activity and early detection of cancer</w:t>
            </w:r>
          </w:p>
        </w:tc>
      </w:tr>
      <w:tr w:rsidR="00223252" w:rsidRPr="00223252" w:rsidTr="00C544CD">
        <w:trPr>
          <w:trHeight w:val="138"/>
        </w:trPr>
        <w:tc>
          <w:tcPr>
            <w:tcW w:w="176"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410"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1802" w:type="pct"/>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612" w:type="pct"/>
            <w:gridSpan w:val="2"/>
            <w:tcBorders>
              <w:top w:val="nil"/>
              <w:left w:val="nil"/>
              <w:bottom w:val="nil"/>
              <w:right w:val="nil"/>
            </w:tcBorders>
            <w:vAlign w:val="center"/>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223252" w:rsidRPr="00223252" w:rsidTr="00C544CD">
        <w:trPr>
          <w:trHeight w:val="465"/>
        </w:trPr>
        <w:tc>
          <w:tcPr>
            <w:tcW w:w="176" w:type="pct"/>
            <w:vMerge w:val="restart"/>
            <w:tcBorders>
              <w:top w:val="single" w:sz="8" w:space="0" w:color="auto"/>
              <w:left w:val="single" w:sz="8" w:space="0" w:color="auto"/>
              <w:bottom w:val="single" w:sz="8" w:space="0" w:color="000000"/>
              <w:right w:val="single" w:sz="8" w:space="0" w:color="auto"/>
            </w:tcBorders>
            <w:shd w:val="clear" w:color="000000" w:fill="17375D"/>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41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1802" w:type="pct"/>
            <w:tcBorders>
              <w:top w:val="single" w:sz="8" w:space="0" w:color="auto"/>
              <w:left w:val="nil"/>
              <w:bottom w:val="nil"/>
              <w:right w:val="single" w:sz="8" w:space="0" w:color="auto"/>
            </w:tcBorders>
            <w:shd w:val="clear" w:color="000000" w:fill="FFFFFF"/>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reduction of premature mortality</w:t>
            </w:r>
          </w:p>
        </w:tc>
        <w:tc>
          <w:tcPr>
            <w:tcW w:w="2612" w:type="pct"/>
            <w:gridSpan w:val="2"/>
            <w:tcBorders>
              <w:top w:val="single" w:sz="8" w:space="0" w:color="auto"/>
              <w:left w:val="nil"/>
              <w:bottom w:val="nil"/>
              <w:right w:val="single" w:sz="8" w:space="0" w:color="auto"/>
            </w:tcBorders>
            <w:shd w:val="clear" w:color="000000" w:fill="FFFFFF"/>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Death rate among those aged under 75 per 100,000 population</w:t>
            </w:r>
          </w:p>
        </w:tc>
      </w:tr>
      <w:tr w:rsidR="00223252" w:rsidRPr="00223252" w:rsidTr="00C544CD">
        <w:trPr>
          <w:trHeight w:val="480"/>
        </w:trPr>
        <w:tc>
          <w:tcPr>
            <w:tcW w:w="176"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02" w:type="pct"/>
            <w:tcBorders>
              <w:top w:val="single" w:sz="4" w:space="0" w:color="auto"/>
              <w:left w:val="nil"/>
              <w:bottom w:val="single" w:sz="8" w:space="0" w:color="auto"/>
              <w:right w:val="single" w:sz="8" w:space="0" w:color="auto"/>
            </w:tcBorders>
            <w:shd w:val="clear" w:color="000000" w:fill="FFFFFF"/>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increase in the number of babies born with a Healthy birth-weight</w:t>
            </w:r>
          </w:p>
        </w:tc>
        <w:tc>
          <w:tcPr>
            <w:tcW w:w="2612" w:type="pct"/>
            <w:gridSpan w:val="2"/>
            <w:tcBorders>
              <w:top w:val="single" w:sz="4" w:space="0" w:color="auto"/>
              <w:left w:val="nil"/>
              <w:bottom w:val="single" w:sz="8" w:space="0" w:color="auto"/>
              <w:right w:val="single" w:sz="8" w:space="0" w:color="auto"/>
            </w:tcBorders>
            <w:shd w:val="clear" w:color="000000" w:fill="FFFFFF"/>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Percentage of babies born at a healthy </w:t>
            </w:r>
            <w:proofErr w:type="spellStart"/>
            <w:r w:rsidRPr="00223252">
              <w:rPr>
                <w:rFonts w:ascii="Arial" w:eastAsia="Times New Roman" w:hAnsi="Arial" w:cs="Arial"/>
                <w:color w:val="000000"/>
                <w:lang w:eastAsia="en-GB"/>
              </w:rPr>
              <w:t>birthweight</w:t>
            </w:r>
            <w:proofErr w:type="spellEnd"/>
          </w:p>
        </w:tc>
      </w:tr>
      <w:tr w:rsidR="00223252" w:rsidRPr="00223252" w:rsidTr="00C544CD">
        <w:trPr>
          <w:trHeight w:val="375"/>
        </w:trPr>
        <w:tc>
          <w:tcPr>
            <w:tcW w:w="176" w:type="pct"/>
            <w:vMerge w:val="restart"/>
            <w:tcBorders>
              <w:top w:val="nil"/>
              <w:left w:val="nil"/>
              <w:bottom w:val="nil"/>
              <w:right w:val="nil"/>
            </w:tcBorders>
            <w:shd w:val="clear" w:color="000000" w:fill="376091"/>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41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1802" w:type="pct"/>
            <w:tcBorders>
              <w:top w:val="single" w:sz="8" w:space="0" w:color="auto"/>
              <w:left w:val="nil"/>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N/a</w:t>
            </w:r>
          </w:p>
        </w:tc>
        <w:tc>
          <w:tcPr>
            <w:tcW w:w="2612" w:type="pct"/>
            <w:gridSpan w:val="2"/>
            <w:tcBorders>
              <w:top w:val="single" w:sz="8" w:space="0" w:color="auto"/>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N/a</w:t>
            </w:r>
          </w:p>
        </w:tc>
      </w:tr>
      <w:tr w:rsidR="00223252" w:rsidRPr="00223252" w:rsidTr="00C544CD">
        <w:trPr>
          <w:trHeight w:val="181"/>
        </w:trPr>
        <w:tc>
          <w:tcPr>
            <w:tcW w:w="176"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1802" w:type="pct"/>
            <w:tcBorders>
              <w:top w:val="nil"/>
              <w:left w:val="nil"/>
              <w:bottom w:val="nil"/>
              <w:right w:val="nil"/>
            </w:tcBorders>
            <w:shd w:val="clear" w:color="auto" w:fill="auto"/>
            <w:noWrap/>
            <w:vAlign w:val="center"/>
            <w:hideMark/>
          </w:tcPr>
          <w:p w:rsidR="00223252" w:rsidRPr="00223252" w:rsidRDefault="00223252" w:rsidP="00223252">
            <w:pPr>
              <w:spacing w:after="0" w:line="240" w:lineRule="auto"/>
              <w:rPr>
                <w:rFonts w:ascii="Arial" w:eastAsia="Times New Roman" w:hAnsi="Arial" w:cs="Arial"/>
                <w:color w:val="000000"/>
                <w:sz w:val="24"/>
                <w:lang w:eastAsia="en-GB"/>
              </w:rPr>
            </w:pPr>
          </w:p>
        </w:tc>
        <w:tc>
          <w:tcPr>
            <w:tcW w:w="2612" w:type="pct"/>
            <w:gridSpan w:val="2"/>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24"/>
                <w:lang w:eastAsia="en-GB"/>
              </w:rPr>
            </w:pPr>
          </w:p>
        </w:tc>
      </w:tr>
      <w:tr w:rsidR="00223252" w:rsidRPr="00223252" w:rsidTr="00C544CD">
        <w:trPr>
          <w:trHeight w:val="300"/>
        </w:trPr>
        <w:tc>
          <w:tcPr>
            <w:tcW w:w="176"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180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early cancer detection</w:t>
            </w:r>
          </w:p>
        </w:tc>
        <w:tc>
          <w:tcPr>
            <w:tcW w:w="2612" w:type="pct"/>
            <w:gridSpan w:val="2"/>
            <w:tcBorders>
              <w:top w:val="single" w:sz="8" w:space="0" w:color="auto"/>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breast, colorectal and lung cancer cases (combined) diagnosed at stage 1</w:t>
            </w:r>
          </w:p>
        </w:tc>
      </w:tr>
      <w:tr w:rsidR="00223252" w:rsidRPr="00223252" w:rsidTr="00C544CD">
        <w:trPr>
          <w:trHeight w:val="300"/>
        </w:trPr>
        <w:tc>
          <w:tcPr>
            <w:tcW w:w="176"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smoking cessation initiatives (12 weeks post quit)</w:t>
            </w:r>
          </w:p>
        </w:tc>
        <w:tc>
          <w:tcPr>
            <w:tcW w:w="2612"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successful quits at 12 weeks post quit in the 40% most deprived within Board SIMD areas</w:t>
            </w:r>
          </w:p>
        </w:tc>
      </w:tr>
      <w:tr w:rsidR="00223252" w:rsidRPr="00223252" w:rsidTr="00C544CD">
        <w:trPr>
          <w:trHeight w:val="300"/>
        </w:trPr>
        <w:tc>
          <w:tcPr>
            <w:tcW w:w="176"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antenatal access</w:t>
            </w:r>
          </w:p>
        </w:tc>
        <w:tc>
          <w:tcPr>
            <w:tcW w:w="2612"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pregnant women in each SIMD quintile who will have booked for antenatal care by the 12</w:t>
            </w:r>
            <w:r w:rsidRPr="00223252">
              <w:rPr>
                <w:rFonts w:ascii="Arial" w:eastAsia="Times New Roman" w:hAnsi="Arial" w:cs="Arial"/>
                <w:color w:val="000000"/>
                <w:vertAlign w:val="superscript"/>
                <w:lang w:eastAsia="en-GB"/>
              </w:rPr>
              <w:t>th</w:t>
            </w:r>
            <w:r w:rsidRPr="00223252">
              <w:rPr>
                <w:rFonts w:ascii="Arial" w:eastAsia="Times New Roman" w:hAnsi="Arial" w:cs="Arial"/>
                <w:color w:val="000000"/>
                <w:lang w:eastAsia="en-GB"/>
              </w:rPr>
              <w:t xml:space="preserve"> week of gestation</w:t>
            </w:r>
          </w:p>
        </w:tc>
      </w:tr>
      <w:tr w:rsidR="00223252" w:rsidRPr="00223252" w:rsidTr="00C544CD">
        <w:trPr>
          <w:trHeight w:val="300"/>
        </w:trPr>
        <w:tc>
          <w:tcPr>
            <w:tcW w:w="176"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suicide reduction initiatives</w:t>
            </w:r>
          </w:p>
        </w:tc>
        <w:tc>
          <w:tcPr>
            <w:tcW w:w="2612"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Suicide rate per 100,000</w:t>
            </w:r>
          </w:p>
        </w:tc>
      </w:tr>
      <w:tr w:rsidR="00223252" w:rsidRPr="00223252" w:rsidTr="00C544CD">
        <w:trPr>
          <w:trHeight w:val="315"/>
        </w:trPr>
        <w:tc>
          <w:tcPr>
            <w:tcW w:w="176"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SIMD child fluoride varnishing initiatives</w:t>
            </w:r>
          </w:p>
        </w:tc>
        <w:tc>
          <w:tcPr>
            <w:tcW w:w="2612" w:type="pct"/>
            <w:gridSpan w:val="2"/>
            <w:tcBorders>
              <w:top w:val="nil"/>
              <w:left w:val="single" w:sz="8" w:space="0" w:color="auto"/>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3 &amp; 4 year old children in each Scottish Index of Multiple Deprivation (SIMD) quintile to receive at least two applications of fluoride varnish (FV) per year</w:t>
            </w:r>
          </w:p>
        </w:tc>
      </w:tr>
      <w:tr w:rsidR="00223252" w:rsidRPr="00223252" w:rsidTr="00C544CD">
        <w:trPr>
          <w:trHeight w:val="420"/>
        </w:trPr>
        <w:tc>
          <w:tcPr>
            <w:tcW w:w="176" w:type="pct"/>
            <w:vMerge/>
            <w:tcBorders>
              <w:top w:val="nil"/>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410" w:type="pct"/>
            <w:vMerge/>
            <w:tcBorders>
              <w:top w:val="single" w:sz="8" w:space="0" w:color="auto"/>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8"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child healthy weight interventions</w:t>
            </w:r>
          </w:p>
        </w:tc>
        <w:tc>
          <w:tcPr>
            <w:tcW w:w="2612" w:type="pct"/>
            <w:gridSpan w:val="2"/>
            <w:tcBorders>
              <w:top w:val="nil"/>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interventions delivered</w:t>
            </w:r>
          </w:p>
        </w:tc>
      </w:tr>
      <w:tr w:rsidR="00223252" w:rsidRPr="00223252" w:rsidTr="00C544CD">
        <w:trPr>
          <w:trHeight w:val="973"/>
        </w:trPr>
        <w:tc>
          <w:tcPr>
            <w:tcW w:w="176" w:type="pct"/>
            <w:tcBorders>
              <w:top w:val="nil"/>
              <w:left w:val="nil"/>
              <w:bottom w:val="nil"/>
              <w:right w:val="nil"/>
            </w:tcBorders>
            <w:shd w:val="clear" w:color="000000" w:fill="538ED5"/>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4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180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2612" w:type="pct"/>
            <w:gridSpan w:val="2"/>
            <w:tcBorders>
              <w:top w:val="single" w:sz="8" w:space="0" w:color="auto"/>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5E7033" w:rsidRDefault="005E7033" w:rsidP="00DD1639">
      <w:pPr>
        <w:pStyle w:val="StandardParagrpah"/>
      </w:pPr>
    </w:p>
    <w:tbl>
      <w:tblPr>
        <w:tblW w:w="0" w:type="auto"/>
        <w:tblLayout w:type="fixed"/>
        <w:tblLook w:val="04A0"/>
      </w:tblPr>
      <w:tblGrid>
        <w:gridCol w:w="485"/>
        <w:gridCol w:w="1137"/>
        <w:gridCol w:w="5905"/>
        <w:gridCol w:w="150"/>
        <w:gridCol w:w="6497"/>
      </w:tblGrid>
      <w:tr w:rsidR="00223252" w:rsidRPr="00223252" w:rsidTr="00C544CD">
        <w:trPr>
          <w:trHeight w:val="499"/>
        </w:trPr>
        <w:tc>
          <w:tcPr>
            <w:tcW w:w="14174" w:type="dxa"/>
            <w:gridSpan w:val="5"/>
            <w:tcBorders>
              <w:top w:val="single" w:sz="8" w:space="0" w:color="auto"/>
              <w:left w:val="single" w:sz="8" w:space="0" w:color="auto"/>
              <w:bottom w:val="single" w:sz="8" w:space="0" w:color="auto"/>
              <w:right w:val="single" w:sz="8" w:space="0" w:color="000000"/>
            </w:tcBorders>
            <w:shd w:val="clear" w:color="000000" w:fill="31849B" w:themeFill="accent5" w:themeFillShade="BF"/>
          </w:tcPr>
          <w:p w:rsidR="00223252" w:rsidRPr="00223252" w:rsidRDefault="00223252" w:rsidP="00223252">
            <w:pPr>
              <w:spacing w:after="0" w:line="240" w:lineRule="auto"/>
              <w:jc w:val="center"/>
              <w:rPr>
                <w:rFonts w:ascii="Arial" w:eastAsia="Times New Roman" w:hAnsi="Arial" w:cs="Arial"/>
                <w:b/>
                <w:bCs/>
                <w:color w:val="FFFFFF" w:themeColor="background1"/>
                <w:sz w:val="40"/>
                <w:szCs w:val="40"/>
                <w:lang w:eastAsia="en-GB"/>
              </w:rPr>
            </w:pPr>
            <w:r w:rsidRPr="00223252">
              <w:rPr>
                <w:rFonts w:ascii="Arial" w:eastAsia="Times New Roman" w:hAnsi="Arial" w:cs="Arial"/>
                <w:b/>
                <w:bCs/>
                <w:color w:val="FFFFFF" w:themeColor="background1"/>
                <w:sz w:val="40"/>
                <w:szCs w:val="40"/>
                <w:lang w:eastAsia="en-GB"/>
              </w:rPr>
              <w:lastRenderedPageBreak/>
              <w:t>Value &amp; Sustainability</w:t>
            </w:r>
          </w:p>
        </w:tc>
      </w:tr>
      <w:tr w:rsidR="00223252" w:rsidRPr="00223252" w:rsidTr="00C544CD">
        <w:trPr>
          <w:trHeight w:val="50"/>
        </w:trPr>
        <w:tc>
          <w:tcPr>
            <w:tcW w:w="485" w:type="dxa"/>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1137" w:type="dxa"/>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6055" w:type="dxa"/>
            <w:gridSpan w:val="2"/>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c>
          <w:tcPr>
            <w:tcW w:w="6497" w:type="dxa"/>
            <w:tcBorders>
              <w:top w:val="nil"/>
              <w:left w:val="nil"/>
              <w:bottom w:val="nil"/>
              <w:right w:val="nil"/>
            </w:tcBorders>
          </w:tcPr>
          <w:p w:rsidR="00223252" w:rsidRPr="00223252" w:rsidRDefault="00223252" w:rsidP="00223252">
            <w:pPr>
              <w:spacing w:after="0" w:line="240" w:lineRule="auto"/>
              <w:rPr>
                <w:rFonts w:ascii="Calibri" w:eastAsia="Times New Roman" w:hAnsi="Calibri" w:cs="Times New Roman"/>
                <w:color w:val="000000"/>
                <w:sz w:val="16"/>
                <w:szCs w:val="16"/>
                <w:lang w:eastAsia="en-GB"/>
              </w:rPr>
            </w:pPr>
          </w:p>
        </w:tc>
      </w:tr>
      <w:tr w:rsidR="00223252" w:rsidRPr="00223252" w:rsidTr="00C544CD">
        <w:trPr>
          <w:trHeight w:val="1224"/>
        </w:trPr>
        <w:tc>
          <w:tcPr>
            <w:tcW w:w="485" w:type="dxa"/>
            <w:tcBorders>
              <w:top w:val="nil"/>
              <w:left w:val="nil"/>
              <w:bottom w:val="nil"/>
              <w:right w:val="nil"/>
            </w:tcBorders>
            <w:shd w:val="clear" w:color="000000" w:fill="002060"/>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 </w:t>
            </w:r>
          </w:p>
        </w:tc>
        <w:tc>
          <w:tcPr>
            <w:tcW w:w="1137"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1255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 xml:space="preserve">Supports implementation of the 2020 Workforce Vision through modernisation, leadership and management. </w:t>
            </w:r>
            <w:r w:rsidRPr="00223252">
              <w:rPr>
                <w:rFonts w:ascii="Arial" w:eastAsia="Times New Roman" w:hAnsi="Arial" w:cs="Arial"/>
                <w:b/>
                <w:bCs/>
                <w:color w:val="000000"/>
                <w:sz w:val="24"/>
                <w:szCs w:val="24"/>
                <w:lang w:eastAsia="en-GB"/>
              </w:rPr>
              <w:br/>
              <w:t>Introduces investment in new innovations to increase quality of care and reduce costs.</w:t>
            </w:r>
            <w:r w:rsidRPr="00223252">
              <w:rPr>
                <w:rFonts w:ascii="Arial" w:eastAsia="Times New Roman" w:hAnsi="Arial" w:cs="Arial"/>
                <w:b/>
                <w:bCs/>
                <w:color w:val="000000"/>
                <w:sz w:val="24"/>
                <w:szCs w:val="24"/>
                <w:lang w:eastAsia="en-GB"/>
              </w:rPr>
              <w:br/>
              <w:t>Increases efficiency and productivity through unified approaches, local solutions and decision making.</w:t>
            </w:r>
          </w:p>
        </w:tc>
      </w:tr>
      <w:tr w:rsidR="00223252" w:rsidRPr="00223252" w:rsidTr="00C544CD">
        <w:trPr>
          <w:trHeight w:val="135"/>
        </w:trPr>
        <w:tc>
          <w:tcPr>
            <w:tcW w:w="485" w:type="dxa"/>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color w:val="000000"/>
                <w:sz w:val="16"/>
                <w:szCs w:val="16"/>
                <w:lang w:eastAsia="en-GB"/>
              </w:rPr>
            </w:pPr>
          </w:p>
        </w:tc>
        <w:tc>
          <w:tcPr>
            <w:tcW w:w="1137" w:type="dxa"/>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5905" w:type="dxa"/>
            <w:tcBorders>
              <w:top w:val="nil"/>
              <w:left w:val="nil"/>
              <w:bottom w:val="nil"/>
              <w:right w:val="nil"/>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6647" w:type="dxa"/>
            <w:gridSpan w:val="2"/>
            <w:tcBorders>
              <w:top w:val="nil"/>
              <w:left w:val="nil"/>
              <w:bottom w:val="nil"/>
              <w:right w:val="nil"/>
            </w:tcBorders>
            <w:vAlign w:val="center"/>
          </w:tcPr>
          <w:p w:rsidR="00223252" w:rsidRPr="00223252" w:rsidRDefault="00223252" w:rsidP="00223252">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223252" w:rsidRPr="00223252" w:rsidTr="00C544CD">
        <w:trPr>
          <w:trHeight w:val="195"/>
        </w:trPr>
        <w:tc>
          <w:tcPr>
            <w:tcW w:w="485" w:type="dxa"/>
            <w:vMerge w:val="restart"/>
            <w:tcBorders>
              <w:top w:val="single" w:sz="8" w:space="0" w:color="auto"/>
              <w:left w:val="single" w:sz="8" w:space="0" w:color="auto"/>
              <w:right w:val="single" w:sz="4" w:space="0" w:color="auto"/>
            </w:tcBorders>
            <w:shd w:val="clear" w:color="000000" w:fill="17375D"/>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1137" w:type="dxa"/>
            <w:vMerge w:val="restart"/>
            <w:tcBorders>
              <w:top w:val="single" w:sz="8" w:space="0" w:color="auto"/>
              <w:left w:val="single" w:sz="4" w:space="0" w:color="auto"/>
              <w:right w:val="single" w:sz="4"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5905" w:type="dxa"/>
            <w:tcBorders>
              <w:top w:val="single" w:sz="8"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level of staff engagement</w:t>
            </w:r>
          </w:p>
        </w:tc>
        <w:tc>
          <w:tcPr>
            <w:tcW w:w="6647" w:type="dxa"/>
            <w:gridSpan w:val="2"/>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staff who they say they would recommend their workplace as a good place to work</w:t>
            </w:r>
          </w:p>
        </w:tc>
      </w:tr>
      <w:tr w:rsidR="00223252" w:rsidRPr="00223252" w:rsidTr="00C544CD">
        <w:trPr>
          <w:trHeight w:val="88"/>
        </w:trPr>
        <w:tc>
          <w:tcPr>
            <w:tcW w:w="485" w:type="dxa"/>
            <w:vMerge/>
            <w:tcBorders>
              <w:left w:val="single" w:sz="8" w:space="0" w:color="auto"/>
              <w:right w:val="single" w:sz="4"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left w:val="single" w:sz="4" w:space="0" w:color="auto"/>
              <w:right w:val="single" w:sz="4"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vMerge w:val="restart"/>
            <w:tcBorders>
              <w:top w:val="nil"/>
              <w:left w:val="nil"/>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resource usage</w:t>
            </w:r>
          </w:p>
        </w:tc>
        <w:tc>
          <w:tcPr>
            <w:tcW w:w="6647" w:type="dxa"/>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Cost of delayed discharge</w:t>
            </w:r>
          </w:p>
        </w:tc>
      </w:tr>
      <w:tr w:rsidR="00223252" w:rsidRPr="00223252" w:rsidTr="00C544CD">
        <w:trPr>
          <w:trHeight w:val="88"/>
        </w:trPr>
        <w:tc>
          <w:tcPr>
            <w:tcW w:w="485" w:type="dxa"/>
            <w:vMerge/>
            <w:tcBorders>
              <w:left w:val="single" w:sz="8" w:space="0" w:color="auto"/>
              <w:right w:val="single" w:sz="4"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left w:val="single" w:sz="4" w:space="0" w:color="auto"/>
              <w:right w:val="single" w:sz="4"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vMerge/>
            <w:tcBorders>
              <w:left w:val="nil"/>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p>
        </w:tc>
        <w:tc>
          <w:tcPr>
            <w:tcW w:w="6647" w:type="dxa"/>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Cost of end of life care in acute hospital</w:t>
            </w:r>
          </w:p>
        </w:tc>
      </w:tr>
      <w:tr w:rsidR="00223252" w:rsidRPr="00223252" w:rsidTr="00C544CD">
        <w:trPr>
          <w:trHeight w:val="88"/>
        </w:trPr>
        <w:tc>
          <w:tcPr>
            <w:tcW w:w="485" w:type="dxa"/>
            <w:vMerge/>
            <w:tcBorders>
              <w:left w:val="single" w:sz="8" w:space="0" w:color="auto"/>
              <w:bottom w:val="single" w:sz="8" w:space="0" w:color="000000"/>
              <w:right w:val="single" w:sz="4" w:space="0" w:color="auto"/>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left w:val="single" w:sz="4" w:space="0" w:color="auto"/>
              <w:bottom w:val="single" w:sz="8" w:space="0" w:color="000000"/>
              <w:right w:val="single" w:sz="4"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vMerge/>
            <w:tcBorders>
              <w:left w:val="nil"/>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p>
        </w:tc>
        <w:tc>
          <w:tcPr>
            <w:tcW w:w="6647" w:type="dxa"/>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Cost of emergency admissions</w:t>
            </w:r>
          </w:p>
        </w:tc>
      </w:tr>
      <w:tr w:rsidR="00223252" w:rsidRPr="00223252" w:rsidTr="00C544CD">
        <w:trPr>
          <w:trHeight w:val="121"/>
        </w:trPr>
        <w:tc>
          <w:tcPr>
            <w:tcW w:w="485" w:type="dxa"/>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color w:val="000000"/>
                <w:sz w:val="16"/>
                <w:szCs w:val="16"/>
                <w:lang w:eastAsia="en-GB"/>
              </w:rPr>
            </w:pPr>
          </w:p>
        </w:tc>
        <w:tc>
          <w:tcPr>
            <w:tcW w:w="1137" w:type="dxa"/>
            <w:tcBorders>
              <w:top w:val="nil"/>
              <w:left w:val="nil"/>
              <w:bottom w:val="single" w:sz="8" w:space="0" w:color="auto"/>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5905" w:type="dxa"/>
            <w:tcBorders>
              <w:top w:val="nil"/>
              <w:left w:val="nil"/>
              <w:bottom w:val="nil"/>
              <w:right w:val="nil"/>
            </w:tcBorders>
            <w:shd w:val="clear" w:color="auto" w:fill="auto"/>
            <w:noWrap/>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6647" w:type="dxa"/>
            <w:gridSpan w:val="2"/>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315"/>
        </w:trPr>
        <w:tc>
          <w:tcPr>
            <w:tcW w:w="485" w:type="dxa"/>
            <w:vMerge w:val="restart"/>
            <w:tcBorders>
              <w:top w:val="nil"/>
              <w:left w:val="nil"/>
              <w:right w:val="nil"/>
            </w:tcBorders>
            <w:shd w:val="clear" w:color="000000" w:fill="376091"/>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113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5905" w:type="dxa"/>
            <w:tcBorders>
              <w:top w:val="single" w:sz="8" w:space="0" w:color="auto"/>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accommodation space utilisation</w:t>
            </w:r>
          </w:p>
        </w:tc>
        <w:tc>
          <w:tcPr>
            <w:tcW w:w="6647" w:type="dxa"/>
            <w:gridSpan w:val="2"/>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‘Fully Used’ for the Space Utilisation appraisal facet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overall running cost of buildings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Total occupancy cost of building</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cleaning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Cleaning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property maintenance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Property maintenance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PPP Facilities management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PPP Facilities management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energy usage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Energy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rent or rates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Rent or rates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catering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Catering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Optimises </w:t>
            </w:r>
            <w:proofErr w:type="spellStart"/>
            <w:r w:rsidRPr="00223252">
              <w:rPr>
                <w:rFonts w:ascii="Arial" w:eastAsia="Times New Roman" w:hAnsi="Arial" w:cs="Arial"/>
                <w:color w:val="000000"/>
                <w:lang w:eastAsia="en-GB"/>
              </w:rPr>
              <w:t>portering</w:t>
            </w:r>
            <w:proofErr w:type="spellEnd"/>
            <w:r w:rsidRPr="00223252">
              <w:rPr>
                <w:rFonts w:ascii="Arial" w:eastAsia="Times New Roman" w:hAnsi="Arial" w:cs="Arial"/>
                <w:color w:val="000000"/>
                <w:lang w:eastAsia="en-GB"/>
              </w:rPr>
              <w:t xml:space="preserve">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proofErr w:type="spellStart"/>
            <w:r w:rsidRPr="00223252">
              <w:rPr>
                <w:rFonts w:ascii="Arial" w:eastAsia="Times New Roman" w:hAnsi="Arial" w:cs="Arial"/>
                <w:color w:val="000000"/>
                <w:lang w:eastAsia="en-GB"/>
              </w:rPr>
              <w:t>Portering</w:t>
            </w:r>
            <w:proofErr w:type="spellEnd"/>
            <w:r w:rsidRPr="00223252">
              <w:rPr>
                <w:rFonts w:ascii="Arial" w:eastAsia="Times New Roman" w:hAnsi="Arial" w:cs="Arial"/>
                <w:color w:val="000000"/>
                <w:lang w:eastAsia="en-GB"/>
              </w:rPr>
              <w:t xml:space="preserve">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laundry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Laundry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waste costs</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Waste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vMerge w:val="restart"/>
            <w:tcBorders>
              <w:top w:val="nil"/>
              <w:left w:val="nil"/>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Reduces financial burden of backlog maintenance and/or </w:t>
            </w:r>
            <w:r w:rsidRPr="00223252">
              <w:rPr>
                <w:rFonts w:ascii="Arial" w:eastAsia="Times New Roman" w:hAnsi="Arial" w:cs="Arial"/>
                <w:color w:val="000000"/>
                <w:lang w:eastAsia="en-GB"/>
              </w:rPr>
              <w:lastRenderedPageBreak/>
              <w:t>future lifecycle replacement expenditure</w:t>
            </w: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lastRenderedPageBreak/>
              <w:t>Backlog maintenance cost</w:t>
            </w: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vMerge/>
            <w:tcBorders>
              <w:left w:val="nil"/>
              <w:bottom w:val="single" w:sz="4"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p>
        </w:tc>
        <w:tc>
          <w:tcPr>
            <w:tcW w:w="6647" w:type="dxa"/>
            <w:gridSpan w:val="2"/>
            <w:tcBorders>
              <w:top w:val="nil"/>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Facilities Condition Index (FCI)</w:t>
            </w:r>
          </w:p>
        </w:tc>
      </w:tr>
      <w:tr w:rsidR="00223252" w:rsidRPr="00223252" w:rsidTr="00C544CD">
        <w:trPr>
          <w:trHeight w:val="330"/>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top w:val="single" w:sz="8" w:space="0" w:color="auto"/>
              <w:left w:val="single" w:sz="8" w:space="0" w:color="auto"/>
              <w:bottom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tcBorders>
              <w:top w:val="nil"/>
              <w:left w:val="nil"/>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design quality in support of increased quality of care and value for money</w:t>
            </w:r>
          </w:p>
        </w:tc>
        <w:tc>
          <w:tcPr>
            <w:tcW w:w="6647" w:type="dxa"/>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AEDET score</w:t>
            </w:r>
          </w:p>
        </w:tc>
      </w:tr>
      <w:tr w:rsidR="00223252" w:rsidRPr="00223252" w:rsidTr="00C544CD">
        <w:trPr>
          <w:trHeight w:val="50"/>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tcBorders>
              <w:top w:val="single" w:sz="8" w:space="0" w:color="auto"/>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5905" w:type="dxa"/>
            <w:tcBorders>
              <w:top w:val="nil"/>
              <w:left w:val="nil"/>
              <w:bottom w:val="nil"/>
              <w:right w:val="nil"/>
            </w:tcBorders>
            <w:shd w:val="clear" w:color="auto" w:fill="auto"/>
            <w:noWrap/>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6647" w:type="dxa"/>
            <w:gridSpan w:val="2"/>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31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val="restart"/>
            <w:tcBorders>
              <w:top w:val="single" w:sz="8" w:space="0" w:color="auto"/>
              <w:left w:val="single" w:sz="8" w:space="0" w:color="auto"/>
              <w:right w:val="single" w:sz="8" w:space="0" w:color="auto"/>
            </w:tcBorders>
            <w:shd w:val="clear" w:color="auto" w:fill="auto"/>
            <w:noWrap/>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5905" w:type="dxa"/>
            <w:tcBorders>
              <w:top w:val="single" w:sz="8" w:space="0" w:color="auto"/>
              <w:left w:val="nil"/>
              <w:bottom w:val="single" w:sz="4"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financial performance</w:t>
            </w:r>
          </w:p>
        </w:tc>
        <w:tc>
          <w:tcPr>
            <w:tcW w:w="6647" w:type="dxa"/>
            <w:gridSpan w:val="2"/>
            <w:tcBorders>
              <w:top w:val="single" w:sz="8" w:space="0" w:color="auto"/>
              <w:left w:val="nil"/>
              <w:bottom w:val="single" w:sz="4"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Recurring revenue budgets</w:t>
            </w:r>
          </w:p>
        </w:tc>
      </w:tr>
      <w:tr w:rsidR="00223252" w:rsidRPr="00223252" w:rsidTr="00C544CD">
        <w:trPr>
          <w:trHeight w:val="405"/>
        </w:trPr>
        <w:tc>
          <w:tcPr>
            <w:tcW w:w="485" w:type="dxa"/>
            <w:vMerge/>
            <w:tcBorders>
              <w:left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left w:val="single" w:sz="8" w:space="0" w:color="auto"/>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vMerge w:val="restart"/>
            <w:tcBorders>
              <w:top w:val="nil"/>
              <w:left w:val="nil"/>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carbon emissions and/or energy consumption</w:t>
            </w:r>
          </w:p>
        </w:tc>
        <w:tc>
          <w:tcPr>
            <w:tcW w:w="6647" w:type="dxa"/>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reduction in CO2 emissions</w:t>
            </w:r>
          </w:p>
        </w:tc>
      </w:tr>
      <w:tr w:rsidR="00223252" w:rsidRPr="00223252" w:rsidTr="00C544CD">
        <w:trPr>
          <w:trHeight w:val="405"/>
        </w:trPr>
        <w:tc>
          <w:tcPr>
            <w:tcW w:w="485" w:type="dxa"/>
            <w:vMerge/>
            <w:tcBorders>
              <w:left w:val="nil"/>
              <w:bottom w:val="nil"/>
              <w:right w:val="nil"/>
            </w:tcBorders>
            <w:vAlign w:val="center"/>
            <w:hideMark/>
          </w:tcPr>
          <w:p w:rsidR="00223252" w:rsidRPr="00223252" w:rsidRDefault="00223252" w:rsidP="00223252">
            <w:pPr>
              <w:spacing w:after="0" w:line="240" w:lineRule="auto"/>
              <w:rPr>
                <w:rFonts w:ascii="Arial" w:eastAsia="Times New Roman" w:hAnsi="Arial" w:cs="Arial"/>
                <w:b/>
                <w:color w:val="FFFFFF"/>
                <w:sz w:val="36"/>
                <w:szCs w:val="36"/>
                <w:lang w:eastAsia="en-GB"/>
              </w:rPr>
            </w:pPr>
          </w:p>
        </w:tc>
        <w:tc>
          <w:tcPr>
            <w:tcW w:w="1137" w:type="dxa"/>
            <w:vMerge/>
            <w:tcBorders>
              <w:left w:val="single" w:sz="8" w:space="0" w:color="auto"/>
              <w:bottom w:val="single" w:sz="8" w:space="0" w:color="000000"/>
              <w:right w:val="single" w:sz="8" w:space="0" w:color="auto"/>
            </w:tcBorders>
            <w:vAlign w:val="center"/>
            <w:hideMark/>
          </w:tcPr>
          <w:p w:rsidR="00223252" w:rsidRPr="00223252" w:rsidRDefault="00223252" w:rsidP="00223252">
            <w:pPr>
              <w:spacing w:after="0" w:line="240" w:lineRule="auto"/>
              <w:rPr>
                <w:rFonts w:ascii="Arial" w:eastAsia="Times New Roman" w:hAnsi="Arial" w:cs="Arial"/>
                <w:b/>
                <w:bCs/>
                <w:color w:val="000000"/>
                <w:sz w:val="24"/>
                <w:szCs w:val="24"/>
                <w:lang w:eastAsia="en-GB"/>
              </w:rPr>
            </w:pPr>
          </w:p>
        </w:tc>
        <w:tc>
          <w:tcPr>
            <w:tcW w:w="5905" w:type="dxa"/>
            <w:vMerge/>
            <w:tcBorders>
              <w:left w:val="nil"/>
              <w:bottom w:val="single" w:sz="8" w:space="0" w:color="auto"/>
              <w:right w:val="single" w:sz="8" w:space="0" w:color="auto"/>
            </w:tcBorders>
            <w:shd w:val="clear" w:color="auto" w:fill="auto"/>
            <w:noWrap/>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p>
        </w:tc>
        <w:tc>
          <w:tcPr>
            <w:tcW w:w="6647" w:type="dxa"/>
            <w:gridSpan w:val="2"/>
            <w:tcBorders>
              <w:top w:val="nil"/>
              <w:left w:val="nil"/>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reduction in energy consumption</w:t>
            </w:r>
          </w:p>
        </w:tc>
      </w:tr>
      <w:tr w:rsidR="00223252" w:rsidRPr="00223252" w:rsidTr="00C544CD">
        <w:trPr>
          <w:trHeight w:val="91"/>
        </w:trPr>
        <w:tc>
          <w:tcPr>
            <w:tcW w:w="485" w:type="dxa"/>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color w:val="000000"/>
                <w:sz w:val="16"/>
                <w:szCs w:val="16"/>
                <w:lang w:eastAsia="en-GB"/>
              </w:rPr>
            </w:pPr>
          </w:p>
        </w:tc>
        <w:tc>
          <w:tcPr>
            <w:tcW w:w="1137" w:type="dxa"/>
            <w:tcBorders>
              <w:top w:val="nil"/>
              <w:left w:val="nil"/>
              <w:bottom w:val="nil"/>
              <w:right w:val="nil"/>
            </w:tcBorders>
            <w:shd w:val="clear" w:color="auto" w:fill="auto"/>
            <w:noWrap/>
            <w:vAlign w:val="bottom"/>
            <w:hideMark/>
          </w:tcPr>
          <w:p w:rsidR="00223252" w:rsidRPr="00223252" w:rsidRDefault="00223252" w:rsidP="00223252">
            <w:pPr>
              <w:spacing w:after="0" w:line="240" w:lineRule="auto"/>
              <w:rPr>
                <w:rFonts w:ascii="Arial" w:eastAsia="Times New Roman" w:hAnsi="Arial" w:cs="Arial"/>
                <w:b/>
                <w:bCs/>
                <w:color w:val="000000"/>
                <w:sz w:val="16"/>
                <w:szCs w:val="16"/>
                <w:lang w:eastAsia="en-GB"/>
              </w:rPr>
            </w:pPr>
          </w:p>
        </w:tc>
        <w:tc>
          <w:tcPr>
            <w:tcW w:w="5905" w:type="dxa"/>
            <w:tcBorders>
              <w:top w:val="nil"/>
              <w:left w:val="nil"/>
              <w:bottom w:val="nil"/>
              <w:right w:val="nil"/>
            </w:tcBorders>
            <w:shd w:val="clear" w:color="auto" w:fill="auto"/>
            <w:noWrap/>
            <w:vAlign w:val="center"/>
            <w:hideMark/>
          </w:tcPr>
          <w:p w:rsidR="00223252" w:rsidRPr="00223252" w:rsidRDefault="00223252" w:rsidP="00223252">
            <w:pPr>
              <w:spacing w:after="0" w:line="240" w:lineRule="auto"/>
              <w:rPr>
                <w:rFonts w:ascii="Arial" w:eastAsia="Times New Roman" w:hAnsi="Arial" w:cs="Arial"/>
                <w:color w:val="000000"/>
                <w:sz w:val="16"/>
                <w:szCs w:val="16"/>
                <w:lang w:eastAsia="en-GB"/>
              </w:rPr>
            </w:pPr>
          </w:p>
        </w:tc>
        <w:tc>
          <w:tcPr>
            <w:tcW w:w="6647" w:type="dxa"/>
            <w:gridSpan w:val="2"/>
            <w:tcBorders>
              <w:top w:val="nil"/>
              <w:left w:val="nil"/>
              <w:bottom w:val="nil"/>
              <w:right w:val="nil"/>
            </w:tcBorders>
            <w:vAlign w:val="center"/>
          </w:tcPr>
          <w:p w:rsidR="00223252" w:rsidRPr="00223252" w:rsidRDefault="00223252" w:rsidP="00223252">
            <w:pPr>
              <w:spacing w:after="0" w:line="240" w:lineRule="auto"/>
              <w:rPr>
                <w:rFonts w:ascii="Arial" w:eastAsia="Times New Roman" w:hAnsi="Arial" w:cs="Arial"/>
                <w:color w:val="000000"/>
                <w:sz w:val="16"/>
                <w:szCs w:val="16"/>
                <w:lang w:eastAsia="en-GB"/>
              </w:rPr>
            </w:pPr>
          </w:p>
        </w:tc>
      </w:tr>
      <w:tr w:rsidR="00223252" w:rsidRPr="00223252" w:rsidTr="00C544CD">
        <w:trPr>
          <w:trHeight w:val="1062"/>
        </w:trPr>
        <w:tc>
          <w:tcPr>
            <w:tcW w:w="485" w:type="dxa"/>
            <w:tcBorders>
              <w:top w:val="nil"/>
              <w:left w:val="nil"/>
              <w:bottom w:val="nil"/>
              <w:right w:val="nil"/>
            </w:tcBorders>
            <w:shd w:val="clear" w:color="000000" w:fill="538ED5"/>
            <w:noWrap/>
            <w:vAlign w:val="center"/>
            <w:hideMark/>
          </w:tcPr>
          <w:p w:rsidR="00223252" w:rsidRPr="00223252" w:rsidRDefault="00223252" w:rsidP="00223252">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59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6647" w:type="dxa"/>
            <w:gridSpan w:val="2"/>
            <w:tcBorders>
              <w:top w:val="single" w:sz="8" w:space="0" w:color="auto"/>
              <w:left w:val="single" w:sz="8" w:space="0" w:color="auto"/>
              <w:bottom w:val="single" w:sz="8" w:space="0" w:color="auto"/>
              <w:right w:val="single" w:sz="8" w:space="0" w:color="auto"/>
            </w:tcBorders>
            <w:vAlign w:val="center"/>
          </w:tcPr>
          <w:p w:rsidR="00223252" w:rsidRPr="00223252" w:rsidRDefault="00223252" w:rsidP="00223252">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5E7033" w:rsidRDefault="005E7033">
      <w:pPr>
        <w:rPr>
          <w:rFonts w:ascii="Arial" w:hAnsi="Arial" w:cs="Arial"/>
          <w:sz w:val="24"/>
        </w:rPr>
      </w:pPr>
    </w:p>
    <w:p w:rsidR="005E7033" w:rsidRPr="002944BA" w:rsidRDefault="005E7033" w:rsidP="00DD1639">
      <w:pPr>
        <w:pStyle w:val="StandardParagrpah"/>
      </w:pPr>
    </w:p>
    <w:sectPr w:rsidR="005E7033" w:rsidRPr="002944BA" w:rsidSect="00223252">
      <w:pgSz w:w="16838" w:h="11906" w:orient="landscape"/>
      <w:pgMar w:top="1135"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4CD" w:rsidRDefault="00C544CD" w:rsidP="00EB3A24">
      <w:pPr>
        <w:spacing w:after="0" w:line="240" w:lineRule="auto"/>
      </w:pPr>
      <w:r>
        <w:separator/>
      </w:r>
    </w:p>
  </w:endnote>
  <w:endnote w:type="continuationSeparator" w:id="0">
    <w:p w:rsidR="00C544CD" w:rsidRDefault="00C544CD" w:rsidP="00EB3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CD" w:rsidRPr="00EB3A24" w:rsidRDefault="001C0F37" w:rsidP="00EB3A24">
    <w:pPr>
      <w:pStyle w:val="Footer"/>
      <w:jc w:val="right"/>
      <w:rPr>
        <w:rFonts w:ascii="Arial" w:hAnsi="Arial" w:cs="Arial"/>
        <w:sz w:val="20"/>
        <w:szCs w:val="20"/>
      </w:rPr>
    </w:pPr>
    <w:r>
      <w:rPr>
        <w:rFonts w:ascii="Arial" w:hAnsi="Arial" w:cs="Arial"/>
        <w:sz w:val="20"/>
        <w:szCs w:val="20"/>
      </w:rPr>
      <w:t>Latest drafting date: 08/02</w:t>
    </w:r>
    <w:r w:rsidR="00C544CD">
      <w:rPr>
        <w:rFonts w:ascii="Arial" w:hAnsi="Arial" w:cs="Arial"/>
        <w:sz w:val="20"/>
        <w:szCs w:val="20"/>
      </w:rPr>
      <w:t>/17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CD" w:rsidRPr="00EB3A24" w:rsidRDefault="00C544CD" w:rsidP="00B3147F">
    <w:pPr>
      <w:pStyle w:val="Footer"/>
      <w:pBdr>
        <w:top w:val="single" w:sz="4" w:space="1" w:color="auto"/>
      </w:pBdr>
      <w:rPr>
        <w:rFonts w:ascii="Arial" w:hAnsi="Arial" w:cs="Arial"/>
        <w:sz w:val="20"/>
        <w:szCs w:val="20"/>
      </w:rPr>
    </w:pPr>
    <w:r>
      <w:rPr>
        <w:rFonts w:ascii="Arial" w:hAnsi="Arial" w:cs="Arial"/>
        <w:sz w:val="20"/>
        <w:szCs w:val="20"/>
      </w:rPr>
      <w:t xml:space="preserve">Strategic Assessment </w:t>
    </w:r>
    <w:r>
      <w:rPr>
        <w:rFonts w:ascii="Arial" w:hAnsi="Arial" w:cs="Arial"/>
        <w:sz w:val="20"/>
        <w:szCs w:val="20"/>
      </w:rPr>
      <w:tab/>
    </w:r>
    <w:r>
      <w:rPr>
        <w:rFonts w:ascii="Arial" w:hAnsi="Arial" w:cs="Arial"/>
        <w:sz w:val="20"/>
        <w:szCs w:val="20"/>
      </w:rPr>
      <w:tab/>
      <w:t xml:space="preserve">Page </w:t>
    </w:r>
    <w:r w:rsidR="00AE7BAB" w:rsidRPr="00EB3A24">
      <w:rPr>
        <w:rFonts w:ascii="Arial" w:hAnsi="Arial" w:cs="Arial"/>
        <w:sz w:val="20"/>
        <w:szCs w:val="20"/>
      </w:rPr>
      <w:fldChar w:fldCharType="begin"/>
    </w:r>
    <w:r w:rsidRPr="00EB3A24">
      <w:rPr>
        <w:rFonts w:ascii="Arial" w:hAnsi="Arial" w:cs="Arial"/>
        <w:sz w:val="20"/>
        <w:szCs w:val="20"/>
      </w:rPr>
      <w:instrText xml:space="preserve"> PAGE   \* MERGEFORMAT </w:instrText>
    </w:r>
    <w:r w:rsidR="00AE7BAB" w:rsidRPr="00EB3A24">
      <w:rPr>
        <w:rFonts w:ascii="Arial" w:hAnsi="Arial" w:cs="Arial"/>
        <w:sz w:val="20"/>
        <w:szCs w:val="20"/>
      </w:rPr>
      <w:fldChar w:fldCharType="separate"/>
    </w:r>
    <w:r w:rsidR="001C0F37">
      <w:rPr>
        <w:rFonts w:ascii="Arial" w:hAnsi="Arial" w:cs="Arial"/>
        <w:noProof/>
        <w:sz w:val="20"/>
        <w:szCs w:val="20"/>
      </w:rPr>
      <w:t>1</w:t>
    </w:r>
    <w:r w:rsidR="00AE7BAB" w:rsidRPr="00EB3A24">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CD" w:rsidRPr="00EB3A24" w:rsidRDefault="00C544CD" w:rsidP="00D6312F">
    <w:pPr>
      <w:pStyle w:val="Footer"/>
      <w:pBdr>
        <w:top w:val="single" w:sz="4" w:space="1" w:color="auto"/>
      </w:pBdr>
      <w:rPr>
        <w:rFonts w:ascii="Arial" w:hAnsi="Arial" w:cs="Arial"/>
        <w:sz w:val="20"/>
        <w:szCs w:val="20"/>
      </w:rPr>
    </w:pPr>
    <w:r>
      <w:rPr>
        <w:rFonts w:ascii="Arial" w:hAnsi="Arial" w:cs="Arial"/>
        <w:sz w:val="20"/>
        <w:szCs w:val="20"/>
      </w:rPr>
      <w:t xml:space="preserve">Strategic Assessment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Appendix A</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CD" w:rsidRPr="00EB3A24" w:rsidRDefault="00C544CD" w:rsidP="00D6312F">
    <w:pPr>
      <w:pStyle w:val="Footer"/>
      <w:pBdr>
        <w:top w:val="single" w:sz="4" w:space="1" w:color="auto"/>
      </w:pBdr>
      <w:rPr>
        <w:rFonts w:ascii="Arial" w:hAnsi="Arial" w:cs="Arial"/>
        <w:sz w:val="20"/>
        <w:szCs w:val="20"/>
      </w:rPr>
    </w:pPr>
    <w:r>
      <w:rPr>
        <w:rFonts w:ascii="Arial" w:hAnsi="Arial" w:cs="Arial"/>
        <w:sz w:val="20"/>
        <w:szCs w:val="20"/>
      </w:rPr>
      <w:t xml:space="preserve">Strategic Assessment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Appendix B</w:t>
    </w:r>
    <w:r>
      <w:rPr>
        <w:rFonts w:ascii="Arial" w:hAnsi="Arial" w:cs="Arial"/>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4CD" w:rsidRDefault="00C544CD" w:rsidP="00EB3A24">
      <w:pPr>
        <w:spacing w:after="0" w:line="240" w:lineRule="auto"/>
      </w:pPr>
      <w:r>
        <w:separator/>
      </w:r>
    </w:p>
  </w:footnote>
  <w:footnote w:type="continuationSeparator" w:id="0">
    <w:p w:rsidR="00C544CD" w:rsidRDefault="00C544CD" w:rsidP="00EB3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CD" w:rsidRPr="00EB3A24" w:rsidRDefault="00AE7BAB" w:rsidP="00B3147F">
    <w:pPr>
      <w:pStyle w:val="Header"/>
      <w:rPr>
        <w:sz w:val="20"/>
        <w:szCs w:val="20"/>
      </w:rPr>
    </w:pPr>
    <w:r>
      <w:rPr>
        <w:noProof/>
        <w:sz w:val="20"/>
        <w:szCs w:val="20"/>
        <w:lang w:eastAsia="en-GB"/>
      </w:rPr>
      <w:pict>
        <v:group id="_x0000_s10369" style="position:absolute;margin-left:-18.85pt;margin-top:-.7pt;width:505.1pt;height:44.85pt;z-index:251678720" coordorigin="1063,695" coordsize="10102,897">
          <v:rect id="_x0000_s10347" style="position:absolute;left:1063;top:695;width:964;height:720;v-text-anchor:middle">
            <v:textbox style="mso-next-textbox:#_x0000_s10347">
              <w:txbxContent>
                <w:p w:rsidR="00C544CD" w:rsidRPr="00B3147F" w:rsidRDefault="00C544CD" w:rsidP="00B4335B">
                  <w:pPr>
                    <w:spacing w:after="0" w:line="240" w:lineRule="auto"/>
                    <w:jc w:val="center"/>
                    <w:rPr>
                      <w:rFonts w:cs="Arial"/>
                      <w:sz w:val="12"/>
                      <w:szCs w:val="12"/>
                    </w:rPr>
                  </w:pPr>
                  <w:r>
                    <w:rPr>
                      <w:rFonts w:cs="Arial"/>
                      <w:sz w:val="12"/>
                      <w:szCs w:val="12"/>
                    </w:rPr>
                    <w:t>Service Planning</w:t>
                  </w:r>
                </w:p>
              </w:txbxContent>
            </v:textbox>
          </v:rect>
          <v:rect id="_x0000_s10348" style="position:absolute;left:2240;top:695;width:964;height:720;v-text-anchor:middle">
            <v:textbox style="mso-next-textbox:#_x0000_s10348">
              <w:txbxContent>
                <w:p w:rsidR="00C544CD" w:rsidRPr="00B3147F" w:rsidRDefault="00C544CD" w:rsidP="00B4335B">
                  <w:pPr>
                    <w:spacing w:after="0" w:line="240" w:lineRule="auto"/>
                    <w:jc w:val="center"/>
                    <w:rPr>
                      <w:rFonts w:cs="Arial"/>
                      <w:sz w:val="12"/>
                      <w:szCs w:val="12"/>
                    </w:rPr>
                  </w:pPr>
                  <w:r>
                    <w:rPr>
                      <w:rFonts w:cs="Arial"/>
                      <w:sz w:val="12"/>
                      <w:szCs w:val="12"/>
                    </w:rPr>
                    <w:t>LDP</w:t>
                  </w:r>
                </w:p>
              </w:txbxContent>
            </v:textbox>
          </v:rect>
          <v:rect id="_x0000_s10349" style="position:absolute;left:3427;top:695;width:964;height:720;v-text-anchor:middle">
            <v:textbox style="mso-next-textbox:#_x0000_s10349">
              <w:txbxContent>
                <w:p w:rsidR="00C544CD" w:rsidRPr="00B3147F" w:rsidRDefault="00C544CD" w:rsidP="00B4335B">
                  <w:pPr>
                    <w:spacing w:after="0" w:line="240" w:lineRule="auto"/>
                    <w:jc w:val="center"/>
                    <w:rPr>
                      <w:rFonts w:cs="Arial"/>
                      <w:sz w:val="12"/>
                      <w:szCs w:val="12"/>
                    </w:rPr>
                  </w:pPr>
                  <w:r>
                    <w:rPr>
                      <w:rFonts w:cs="Arial"/>
                      <w:sz w:val="12"/>
                      <w:szCs w:val="12"/>
                    </w:rPr>
                    <w:t>PAMS</w:t>
                  </w:r>
                </w:p>
              </w:txbxContent>
            </v:textbox>
          </v:rect>
          <v:rect id="_x0000_s10350" style="position:absolute;left:4593;top:698;width:964;height:720;mso-position-vertical:absolute;v-text-anchor:middle" fillcolor="#e36c0a [2409]">
            <v:textbox style="mso-next-textbox:#_x0000_s10350">
              <w:txbxContent>
                <w:p w:rsidR="00C544CD" w:rsidRPr="00B4335B" w:rsidRDefault="00C544CD" w:rsidP="00B4335B">
                  <w:pPr>
                    <w:spacing w:after="0" w:line="240" w:lineRule="auto"/>
                    <w:jc w:val="center"/>
                    <w:rPr>
                      <w:rFonts w:cs="Arial"/>
                      <w:b/>
                      <w:color w:val="FFFFFF" w:themeColor="background1"/>
                      <w:sz w:val="12"/>
                      <w:szCs w:val="12"/>
                    </w:rPr>
                  </w:pPr>
                  <w:r w:rsidRPr="00B4335B">
                    <w:rPr>
                      <w:rFonts w:cs="Arial"/>
                      <w:b/>
                      <w:color w:val="FFFFFF" w:themeColor="background1"/>
                      <w:sz w:val="12"/>
                      <w:szCs w:val="12"/>
                    </w:rPr>
                    <w:t>Strategic Assessment</w:t>
                  </w:r>
                </w:p>
              </w:txbxContent>
            </v:textbox>
          </v:rect>
          <v:rect id="_x0000_s10351" style="position:absolute;left:5773;top:698;width:964;height:720;mso-position-vertical:absolute;v-text-anchor:middle" filled="f" fillcolor="#c00000">
            <v:textbox style="mso-next-textbox:#_x0000_s10351">
              <w:txbxContent>
                <w:p w:rsidR="00C544CD" w:rsidRPr="00B4335B" w:rsidRDefault="00C544CD" w:rsidP="00B4335B">
                  <w:pPr>
                    <w:spacing w:after="0" w:line="240" w:lineRule="auto"/>
                    <w:jc w:val="center"/>
                    <w:rPr>
                      <w:rFonts w:cs="Arial"/>
                      <w:color w:val="000000" w:themeColor="text1"/>
                      <w:sz w:val="12"/>
                      <w:szCs w:val="12"/>
                    </w:rPr>
                  </w:pPr>
                  <w:r w:rsidRPr="00B4335B">
                    <w:rPr>
                      <w:rFonts w:cs="Arial"/>
                      <w:color w:val="000000" w:themeColor="text1"/>
                      <w:sz w:val="12"/>
                      <w:szCs w:val="12"/>
                    </w:rPr>
                    <w:t>Initial Agreement</w:t>
                  </w:r>
                </w:p>
              </w:txbxContent>
            </v:textbox>
          </v:rect>
          <v:rect id="_x0000_s10352" style="position:absolute;left:6940;top:698;width:964;height:720;mso-position-vertical:absolute;v-text-anchor:middle" filled="f" fillcolor="#31849b [2408]">
            <v:textbox style="mso-next-textbox:#_x0000_s10352">
              <w:txbxContent>
                <w:p w:rsidR="00C544CD" w:rsidRPr="00B4335B" w:rsidRDefault="00C544CD" w:rsidP="00B4335B">
                  <w:pPr>
                    <w:spacing w:after="0" w:line="240" w:lineRule="auto"/>
                    <w:jc w:val="center"/>
                    <w:rPr>
                      <w:rFonts w:cs="Arial"/>
                      <w:color w:val="000000" w:themeColor="text1"/>
                      <w:sz w:val="12"/>
                      <w:szCs w:val="12"/>
                    </w:rPr>
                  </w:pPr>
                  <w:r w:rsidRPr="00B4335B">
                    <w:rPr>
                      <w:rFonts w:cs="Arial"/>
                      <w:color w:val="000000" w:themeColor="text1"/>
                      <w:sz w:val="12"/>
                      <w:szCs w:val="12"/>
                    </w:rPr>
                    <w:t>OBC</w:t>
                  </w:r>
                </w:p>
              </w:txbxContent>
            </v:textbox>
          </v:rect>
          <v:shapetype id="_x0000_t32" coordsize="21600,21600" o:spt="32" o:oned="t" path="m,l21600,21600e" filled="f">
            <v:path arrowok="t" fillok="f" o:connecttype="none"/>
            <o:lock v:ext="edit" shapetype="t"/>
          </v:shapetype>
          <v:shape id="_x0000_s10353" type="#_x0000_t32" style="position:absolute;left:2020;top:1055;width:220;height:0" o:connectortype="straight"/>
          <v:shape id="_x0000_s10354" type="#_x0000_t32" style="position:absolute;left:3207;top:1055;width:220;height:0" o:connectortype="straight"/>
          <v:shape id="_x0000_s10355" type="#_x0000_t32" style="position:absolute;left:4373;top:1055;width:220;height:0" o:connectortype="straight"/>
          <v:shape id="_x0000_s10356" type="#_x0000_t32" style="position:absolute;left:5553;top:1055;width:220;height:0" o:connectortype="straight"/>
          <v:shape id="_x0000_s10357" type="#_x0000_t32" style="position:absolute;left:6733;top:1055;width:220;height:0" o:connectortype="straight"/>
          <v:shape id="_x0000_s10358" type="#_x0000_t32" style="position:absolute;left:7903;top:1055;width:220;height:0" o:connectortype="straight"/>
          <v:rect id="_x0000_s10359" style="position:absolute;left:10485;top:698;width:680;height:720;mso-position-vertical:absolute;v-text-anchor:middle" filled="f" fillcolor="#1f497d [3215]">
            <v:textbox style="mso-next-textbox:#_x0000_s10359">
              <w:txbxContent>
                <w:p w:rsidR="00C544CD" w:rsidRPr="00B4335B" w:rsidRDefault="00C544CD" w:rsidP="00B4335B">
                  <w:pPr>
                    <w:spacing w:after="0" w:line="240" w:lineRule="auto"/>
                    <w:jc w:val="center"/>
                    <w:rPr>
                      <w:rFonts w:cs="Arial"/>
                      <w:color w:val="000000" w:themeColor="text1"/>
                      <w:sz w:val="12"/>
                      <w:szCs w:val="12"/>
                    </w:rPr>
                  </w:pPr>
                  <w:r w:rsidRPr="00B4335B">
                    <w:rPr>
                      <w:rFonts w:cs="Arial"/>
                      <w:color w:val="000000" w:themeColor="text1"/>
                      <w:sz w:val="12"/>
                      <w:szCs w:val="12"/>
                    </w:rPr>
                    <w:t>PME</w:t>
                  </w:r>
                </w:p>
              </w:txbxContent>
            </v:textbox>
          </v:rect>
          <v:rect id="_x0000_s10360" style="position:absolute;left:8123;top:698;width:964;height:720;mso-position-vertical:absolute;v-text-anchor:middle" filled="f" fillcolor="#5f497a [2407]">
            <v:textbox style="mso-next-textbox:#_x0000_s10360" inset=",0,,0">
              <w:txbxContent>
                <w:p w:rsidR="00C544CD" w:rsidRPr="00B4335B" w:rsidRDefault="00C544CD" w:rsidP="00B4335B">
                  <w:pPr>
                    <w:spacing w:after="0" w:line="240" w:lineRule="auto"/>
                    <w:jc w:val="center"/>
                    <w:rPr>
                      <w:rFonts w:cs="Arial"/>
                      <w:color w:val="000000" w:themeColor="text1"/>
                      <w:sz w:val="12"/>
                      <w:szCs w:val="12"/>
                    </w:rPr>
                  </w:pPr>
                  <w:r w:rsidRPr="00B4335B">
                    <w:rPr>
                      <w:rFonts w:cs="Arial"/>
                      <w:color w:val="000000" w:themeColor="text1"/>
                      <w:sz w:val="12"/>
                      <w:szCs w:val="12"/>
                    </w:rPr>
                    <w:t>FBC</w:t>
                  </w:r>
                </w:p>
              </w:txbxContent>
            </v:textbox>
          </v:rect>
          <v:shape id="_x0000_s10361" type="#_x0000_t32" style="position:absolute;left:1706;top:1581;width:8869;height:11;flip:y" o:connectortype="straight"/>
          <v:shape id="_x0000_s10362" type="#_x0000_t32" style="position:absolute;left:9083;top:1055;width:220;height:0" o:connectortype="straight"/>
          <v:rect id="_x0000_s10363" style="position:absolute;left:9303;top:698;width:964;height:720;mso-position-vertical:absolute;v-text-anchor:middle" filled="f" fillcolor="white [3212]">
            <v:textbox style="mso-next-textbox:#_x0000_s10363" inset="0,0,0,0">
              <w:txbxContent>
                <w:p w:rsidR="00C544CD" w:rsidRPr="004C5FFD" w:rsidRDefault="00C544CD" w:rsidP="00B4335B">
                  <w:pPr>
                    <w:spacing w:after="0" w:line="240" w:lineRule="auto"/>
                    <w:jc w:val="center"/>
                    <w:rPr>
                      <w:rFonts w:cs="Arial"/>
                      <w:sz w:val="12"/>
                      <w:szCs w:val="12"/>
                    </w:rPr>
                  </w:pPr>
                  <w:r w:rsidRPr="004C5FFD">
                    <w:rPr>
                      <w:rFonts w:cs="Arial"/>
                      <w:sz w:val="12"/>
                      <w:szCs w:val="12"/>
                    </w:rPr>
                    <w:t>Construction &amp; Commissioning</w:t>
                  </w:r>
                </w:p>
              </w:txbxContent>
            </v:textbox>
          </v:rect>
          <v:shape id="_x0000_s10364" type="#_x0000_t32" style="position:absolute;left:10263;top:1055;width:22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5" type="#_x0000_t19" style="position:absolute;left:1502;top:1411;width:170;height:170;rotation:180">
            <v:stroke endarrow="block" endarrowwidth="wide"/>
          </v:shape>
          <v:shape id="_x0000_s10366" type="#_x0000_t19" style="position:absolute;left:10612;top:1408;width:170;height:170;rotation:90">
            <v:stroke endarrow="block" endarrowwidth="wid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CD" w:rsidRPr="00EB3A24" w:rsidRDefault="00C544CD" w:rsidP="00B43B0F">
    <w:pPr>
      <w:pStyle w:val="Header"/>
      <w:pBdr>
        <w:bottom w:val="single" w:sz="4" w:space="1" w:color="auto"/>
      </w:pBd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F8CA2E"/>
    <w:lvl w:ilvl="0">
      <w:start w:val="1"/>
      <w:numFmt w:val="decimal"/>
      <w:lvlText w:val="%1."/>
      <w:lvlJc w:val="left"/>
      <w:pPr>
        <w:tabs>
          <w:tab w:val="num" w:pos="1492"/>
        </w:tabs>
        <w:ind w:left="1492" w:hanging="360"/>
      </w:pPr>
    </w:lvl>
  </w:abstractNum>
  <w:abstractNum w:abstractNumId="1">
    <w:nsid w:val="FFFFFF7D"/>
    <w:multiLevelType w:val="singleLevel"/>
    <w:tmpl w:val="9AF0807E"/>
    <w:lvl w:ilvl="0">
      <w:start w:val="1"/>
      <w:numFmt w:val="decimal"/>
      <w:lvlText w:val="%1."/>
      <w:lvlJc w:val="left"/>
      <w:pPr>
        <w:tabs>
          <w:tab w:val="num" w:pos="1209"/>
        </w:tabs>
        <w:ind w:left="1209" w:hanging="360"/>
      </w:pPr>
    </w:lvl>
  </w:abstractNum>
  <w:abstractNum w:abstractNumId="2">
    <w:nsid w:val="FFFFFF7E"/>
    <w:multiLevelType w:val="singleLevel"/>
    <w:tmpl w:val="5B8C63D6"/>
    <w:lvl w:ilvl="0">
      <w:start w:val="1"/>
      <w:numFmt w:val="decimal"/>
      <w:lvlText w:val="%1."/>
      <w:lvlJc w:val="left"/>
      <w:pPr>
        <w:tabs>
          <w:tab w:val="num" w:pos="926"/>
        </w:tabs>
        <w:ind w:left="926" w:hanging="360"/>
      </w:pPr>
    </w:lvl>
  </w:abstractNum>
  <w:abstractNum w:abstractNumId="3">
    <w:nsid w:val="FFFFFF7F"/>
    <w:multiLevelType w:val="singleLevel"/>
    <w:tmpl w:val="A9443286"/>
    <w:lvl w:ilvl="0">
      <w:start w:val="1"/>
      <w:numFmt w:val="decimal"/>
      <w:lvlText w:val="%1."/>
      <w:lvlJc w:val="left"/>
      <w:pPr>
        <w:tabs>
          <w:tab w:val="num" w:pos="643"/>
        </w:tabs>
        <w:ind w:left="643" w:hanging="360"/>
      </w:pPr>
    </w:lvl>
  </w:abstractNum>
  <w:abstractNum w:abstractNumId="4">
    <w:nsid w:val="FFFFFF80"/>
    <w:multiLevelType w:val="singleLevel"/>
    <w:tmpl w:val="B87279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507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C6E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F2D9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162908"/>
    <w:lvl w:ilvl="0">
      <w:start w:val="1"/>
      <w:numFmt w:val="decimal"/>
      <w:lvlText w:val="%1."/>
      <w:lvlJc w:val="left"/>
      <w:pPr>
        <w:tabs>
          <w:tab w:val="num" w:pos="360"/>
        </w:tabs>
        <w:ind w:left="360" w:hanging="360"/>
      </w:pPr>
    </w:lvl>
  </w:abstractNum>
  <w:abstractNum w:abstractNumId="9">
    <w:nsid w:val="FFFFFF89"/>
    <w:multiLevelType w:val="singleLevel"/>
    <w:tmpl w:val="081433EC"/>
    <w:lvl w:ilvl="0">
      <w:start w:val="1"/>
      <w:numFmt w:val="bullet"/>
      <w:lvlText w:val=""/>
      <w:lvlJc w:val="left"/>
      <w:pPr>
        <w:tabs>
          <w:tab w:val="num" w:pos="360"/>
        </w:tabs>
        <w:ind w:left="360" w:hanging="360"/>
      </w:pPr>
      <w:rPr>
        <w:rFonts w:ascii="Symbol" w:hAnsi="Symbol" w:hint="default"/>
      </w:rPr>
    </w:lvl>
  </w:abstractNum>
  <w:abstractNum w:abstractNumId="10">
    <w:nsid w:val="06E64BE8"/>
    <w:multiLevelType w:val="multilevel"/>
    <w:tmpl w:val="560A1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A1918FE"/>
    <w:multiLevelType w:val="multilevel"/>
    <w:tmpl w:val="2C8EA8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574AC4"/>
    <w:multiLevelType w:val="hybridMultilevel"/>
    <w:tmpl w:val="EF52C8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nsid w:val="2464486C"/>
    <w:multiLevelType w:val="multilevel"/>
    <w:tmpl w:val="8ADCAA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8C4F04"/>
    <w:multiLevelType w:val="hybridMultilevel"/>
    <w:tmpl w:val="26C83B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28626769"/>
    <w:multiLevelType w:val="hybridMultilevel"/>
    <w:tmpl w:val="DA9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B20E5F"/>
    <w:multiLevelType w:val="hybridMultilevel"/>
    <w:tmpl w:val="1EF62B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31AC5157"/>
    <w:multiLevelType w:val="hybridMultilevel"/>
    <w:tmpl w:val="549C7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8C235A"/>
    <w:multiLevelType w:val="hybridMultilevel"/>
    <w:tmpl w:val="72E64F62"/>
    <w:lvl w:ilvl="0" w:tplc="CD0CF144">
      <w:start w:val="1"/>
      <w:numFmt w:val="bullet"/>
      <w:pStyle w:val="Standard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853EE3"/>
    <w:multiLevelType w:val="hybridMultilevel"/>
    <w:tmpl w:val="7158CA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nsid w:val="4071672D"/>
    <w:multiLevelType w:val="multilevel"/>
    <w:tmpl w:val="8ADCAA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2BA279E"/>
    <w:multiLevelType w:val="hybridMultilevel"/>
    <w:tmpl w:val="0D361A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nsid w:val="62465A51"/>
    <w:multiLevelType w:val="multilevel"/>
    <w:tmpl w:val="027E19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F84EEA"/>
    <w:multiLevelType w:val="hybridMultilevel"/>
    <w:tmpl w:val="6C322996"/>
    <w:lvl w:ilvl="0" w:tplc="C1D23DB8">
      <w:start w:val="1"/>
      <w:numFmt w:val="decimal"/>
      <w:pStyle w:val="Standardnumberbulle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D25382"/>
    <w:multiLevelType w:val="multilevel"/>
    <w:tmpl w:val="930839A2"/>
    <w:styleLink w:val="Style1"/>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AD4708C"/>
    <w:multiLevelType w:val="hybridMultilevel"/>
    <w:tmpl w:val="FA58B1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nsid w:val="7D2E2D57"/>
    <w:multiLevelType w:val="hybridMultilevel"/>
    <w:tmpl w:val="421CBE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4"/>
  </w:num>
  <w:num w:numId="22">
    <w:abstractNumId w:val="19"/>
  </w:num>
  <w:num w:numId="23">
    <w:abstractNumId w:val="21"/>
  </w:num>
  <w:num w:numId="24">
    <w:abstractNumId w:val="12"/>
  </w:num>
  <w:num w:numId="25">
    <w:abstractNumId w:val="16"/>
  </w:num>
  <w:num w:numId="26">
    <w:abstractNumId w:val="17"/>
  </w:num>
  <w:num w:numId="27">
    <w:abstractNumId w:val="15"/>
  </w:num>
  <w:num w:numId="28">
    <w:abstractNumId w:val="18"/>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drawingGridHorizontalSpacing w:val="110"/>
  <w:displayHorizontalDrawingGridEvery w:val="2"/>
  <w:characterSpacingControl w:val="doNotCompress"/>
  <w:hdrShapeDefaults>
    <o:shapedefaults v:ext="edit" spidmax="10371"/>
    <o:shapelayout v:ext="edit">
      <o:idmap v:ext="edit" data="10"/>
      <o:rules v:ext="edit">
        <o:r id="V:Rule10" type="arc" idref="#_x0000_s10365"/>
        <o:r id="V:Rule11" type="arc" idref="#_x0000_s10366"/>
        <o:r id="V:Rule12" type="connector" idref="#_x0000_s10356"/>
        <o:r id="V:Rule13" type="connector" idref="#_x0000_s10357"/>
        <o:r id="V:Rule14" type="connector" idref="#_x0000_s10358"/>
        <o:r id="V:Rule15" type="connector" idref="#_x0000_s10364"/>
        <o:r id="V:Rule16" type="connector" idref="#_x0000_s10353"/>
        <o:r id="V:Rule17" type="connector" idref="#_x0000_s10355"/>
        <o:r id="V:Rule18" type="connector" idref="#_x0000_s10361"/>
        <o:r id="V:Rule19" type="connector" idref="#_x0000_s10354"/>
        <o:r id="V:Rule20" type="connector" idref="#_x0000_s10362"/>
      </o:rules>
    </o:shapelayout>
  </w:hdrShapeDefaults>
  <w:footnotePr>
    <w:footnote w:id="-1"/>
    <w:footnote w:id="0"/>
  </w:footnotePr>
  <w:endnotePr>
    <w:endnote w:id="-1"/>
    <w:endnote w:id="0"/>
  </w:endnotePr>
  <w:compat/>
  <w:rsids>
    <w:rsidRoot w:val="00E7693D"/>
    <w:rsid w:val="00017496"/>
    <w:rsid w:val="000250BC"/>
    <w:rsid w:val="00037607"/>
    <w:rsid w:val="00046E53"/>
    <w:rsid w:val="00063C22"/>
    <w:rsid w:val="00072A31"/>
    <w:rsid w:val="00086914"/>
    <w:rsid w:val="000A442C"/>
    <w:rsid w:val="000C275A"/>
    <w:rsid w:val="00131893"/>
    <w:rsid w:val="00180A11"/>
    <w:rsid w:val="00181769"/>
    <w:rsid w:val="00194CA4"/>
    <w:rsid w:val="00196C20"/>
    <w:rsid w:val="001C0F37"/>
    <w:rsid w:val="00223252"/>
    <w:rsid w:val="00251FD4"/>
    <w:rsid w:val="00261AE6"/>
    <w:rsid w:val="002944BA"/>
    <w:rsid w:val="002D1064"/>
    <w:rsid w:val="002E186E"/>
    <w:rsid w:val="00323FA0"/>
    <w:rsid w:val="00372005"/>
    <w:rsid w:val="0039148A"/>
    <w:rsid w:val="00392179"/>
    <w:rsid w:val="00393F41"/>
    <w:rsid w:val="003D67C0"/>
    <w:rsid w:val="003D6F59"/>
    <w:rsid w:val="003E3F0A"/>
    <w:rsid w:val="003F7CB5"/>
    <w:rsid w:val="00406C4C"/>
    <w:rsid w:val="004248E1"/>
    <w:rsid w:val="00430AE7"/>
    <w:rsid w:val="00432314"/>
    <w:rsid w:val="00472773"/>
    <w:rsid w:val="00482570"/>
    <w:rsid w:val="00482C85"/>
    <w:rsid w:val="0048382B"/>
    <w:rsid w:val="00494959"/>
    <w:rsid w:val="004C798B"/>
    <w:rsid w:val="004D29AE"/>
    <w:rsid w:val="004E4DAC"/>
    <w:rsid w:val="00520BDC"/>
    <w:rsid w:val="005B5AF9"/>
    <w:rsid w:val="005E7033"/>
    <w:rsid w:val="005F5566"/>
    <w:rsid w:val="006071B1"/>
    <w:rsid w:val="00611D48"/>
    <w:rsid w:val="0062335A"/>
    <w:rsid w:val="006A5425"/>
    <w:rsid w:val="006A64FB"/>
    <w:rsid w:val="006C15EE"/>
    <w:rsid w:val="007857A6"/>
    <w:rsid w:val="007B0468"/>
    <w:rsid w:val="00803469"/>
    <w:rsid w:val="00834052"/>
    <w:rsid w:val="008701A7"/>
    <w:rsid w:val="00903591"/>
    <w:rsid w:val="009309BB"/>
    <w:rsid w:val="00941F22"/>
    <w:rsid w:val="00A03839"/>
    <w:rsid w:val="00A16647"/>
    <w:rsid w:val="00A34A83"/>
    <w:rsid w:val="00A46B4D"/>
    <w:rsid w:val="00A5470F"/>
    <w:rsid w:val="00A8091E"/>
    <w:rsid w:val="00AD6D01"/>
    <w:rsid w:val="00AE7BAB"/>
    <w:rsid w:val="00AF1B8D"/>
    <w:rsid w:val="00B25DEE"/>
    <w:rsid w:val="00B3147F"/>
    <w:rsid w:val="00B41D46"/>
    <w:rsid w:val="00B4335B"/>
    <w:rsid w:val="00B43B0F"/>
    <w:rsid w:val="00B903C2"/>
    <w:rsid w:val="00B91311"/>
    <w:rsid w:val="00C12E17"/>
    <w:rsid w:val="00C44102"/>
    <w:rsid w:val="00C544CD"/>
    <w:rsid w:val="00C74DEC"/>
    <w:rsid w:val="00CD3AB6"/>
    <w:rsid w:val="00D00D00"/>
    <w:rsid w:val="00D23B32"/>
    <w:rsid w:val="00D6312F"/>
    <w:rsid w:val="00D72767"/>
    <w:rsid w:val="00D839DD"/>
    <w:rsid w:val="00DD1639"/>
    <w:rsid w:val="00DD6D39"/>
    <w:rsid w:val="00E0009E"/>
    <w:rsid w:val="00E0369B"/>
    <w:rsid w:val="00E1081E"/>
    <w:rsid w:val="00E61176"/>
    <w:rsid w:val="00E7693D"/>
    <w:rsid w:val="00E9572B"/>
    <w:rsid w:val="00EB35D9"/>
    <w:rsid w:val="00EB3A24"/>
    <w:rsid w:val="00F52A3E"/>
    <w:rsid w:val="00F86E7F"/>
    <w:rsid w:val="00FE0C02"/>
    <w:rsid w:val="00FF79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E7F"/>
  </w:style>
  <w:style w:type="paragraph" w:styleId="Heading1">
    <w:name w:val="heading 1"/>
    <w:basedOn w:val="Normal"/>
    <w:next w:val="StandardParagrpah"/>
    <w:link w:val="Heading1Char"/>
    <w:uiPriority w:val="9"/>
    <w:qFormat/>
    <w:rsid w:val="00086914"/>
    <w:pPr>
      <w:keepNext/>
      <w:keepLines/>
      <w:numPr>
        <w:numId w:val="17"/>
      </w:numPr>
      <w:spacing w:before="240" w:after="120" w:line="360" w:lineRule="auto"/>
      <w:ind w:left="425" w:hanging="425"/>
      <w:outlineLvl w:val="0"/>
    </w:pPr>
    <w:rPr>
      <w:rFonts w:ascii="Arial" w:eastAsiaTheme="majorEastAsia" w:hAnsi="Arial" w:cstheme="majorBidi"/>
      <w:b/>
      <w:bCs/>
      <w:color w:val="000000" w:themeColor="text1"/>
      <w:sz w:val="28"/>
      <w:szCs w:val="28"/>
    </w:rPr>
  </w:style>
  <w:style w:type="paragraph" w:styleId="Heading2">
    <w:name w:val="heading 2"/>
    <w:basedOn w:val="Normal"/>
    <w:next w:val="StandardParagrpah"/>
    <w:link w:val="Heading2Char"/>
    <w:uiPriority w:val="9"/>
    <w:unhideWhenUsed/>
    <w:qFormat/>
    <w:rsid w:val="00DD1639"/>
    <w:pPr>
      <w:keepNext/>
      <w:keepLines/>
      <w:numPr>
        <w:ilvl w:val="1"/>
        <w:numId w:val="17"/>
      </w:numPr>
      <w:spacing w:before="120" w:after="120" w:line="360" w:lineRule="auto"/>
      <w:ind w:left="567" w:hanging="567"/>
      <w:outlineLvl w:val="1"/>
    </w:pPr>
    <w:rPr>
      <w:rFonts w:ascii="Arial" w:eastAsiaTheme="majorEastAsia" w:hAnsi="Arial" w:cs="Arial"/>
      <w:b/>
      <w:bCs/>
      <w:color w:val="000000" w:themeColor="text1"/>
      <w:sz w:val="24"/>
      <w:szCs w:val="24"/>
    </w:rPr>
  </w:style>
  <w:style w:type="paragraph" w:styleId="Heading3">
    <w:name w:val="heading 3"/>
    <w:basedOn w:val="Normal"/>
    <w:next w:val="Normal"/>
    <w:link w:val="Heading3Char"/>
    <w:uiPriority w:val="9"/>
    <w:unhideWhenUsed/>
    <w:qFormat/>
    <w:rsid w:val="00D00D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6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6E7F"/>
    <w:pPr>
      <w:ind w:left="720"/>
      <w:contextualSpacing/>
    </w:pPr>
  </w:style>
  <w:style w:type="character" w:customStyle="1" w:styleId="Heading1Char">
    <w:name w:val="Heading 1 Char"/>
    <w:basedOn w:val="DefaultParagraphFont"/>
    <w:link w:val="Heading1"/>
    <w:uiPriority w:val="9"/>
    <w:rsid w:val="00086914"/>
    <w:rPr>
      <w:rFonts w:ascii="Arial" w:eastAsiaTheme="majorEastAsia" w:hAnsi="Arial" w:cstheme="majorBidi"/>
      <w:b/>
      <w:bCs/>
      <w:color w:val="000000" w:themeColor="text1"/>
      <w:sz w:val="28"/>
      <w:szCs w:val="28"/>
    </w:rPr>
  </w:style>
  <w:style w:type="paragraph" w:customStyle="1" w:styleId="StandardParagrpah">
    <w:name w:val="Standard Paragrpah"/>
    <w:basedOn w:val="Normal"/>
    <w:qFormat/>
    <w:rsid w:val="00DD1639"/>
    <w:pPr>
      <w:spacing w:after="240" w:line="360" w:lineRule="auto"/>
    </w:pPr>
    <w:rPr>
      <w:rFonts w:ascii="Arial" w:hAnsi="Arial" w:cs="Arial"/>
      <w:sz w:val="24"/>
    </w:rPr>
  </w:style>
  <w:style w:type="character" w:customStyle="1" w:styleId="Heading2Char">
    <w:name w:val="Heading 2 Char"/>
    <w:basedOn w:val="DefaultParagraphFont"/>
    <w:link w:val="Heading2"/>
    <w:uiPriority w:val="9"/>
    <w:rsid w:val="00DD1639"/>
    <w:rPr>
      <w:rFonts w:ascii="Arial" w:eastAsiaTheme="majorEastAsia" w:hAnsi="Arial" w:cs="Arial"/>
      <w:b/>
      <w:bCs/>
      <w:color w:val="000000" w:themeColor="text1"/>
      <w:sz w:val="24"/>
      <w:szCs w:val="24"/>
    </w:rPr>
  </w:style>
  <w:style w:type="paragraph" w:styleId="NoSpacing">
    <w:name w:val="No Spacing"/>
    <w:uiPriority w:val="1"/>
    <w:qFormat/>
    <w:rsid w:val="00E9572B"/>
    <w:pPr>
      <w:spacing w:after="0" w:line="240" w:lineRule="auto"/>
    </w:pPr>
  </w:style>
  <w:style w:type="character" w:customStyle="1" w:styleId="Heading3Char">
    <w:name w:val="Heading 3 Char"/>
    <w:basedOn w:val="DefaultParagraphFont"/>
    <w:link w:val="Heading3"/>
    <w:uiPriority w:val="9"/>
    <w:rsid w:val="00D00D00"/>
    <w:rPr>
      <w:rFonts w:asciiTheme="majorHAnsi" w:eastAsiaTheme="majorEastAsia" w:hAnsiTheme="majorHAnsi" w:cstheme="majorBidi"/>
      <w:b/>
      <w:bCs/>
      <w:color w:val="4F81BD" w:themeColor="accent1"/>
    </w:rPr>
  </w:style>
  <w:style w:type="numbering" w:customStyle="1" w:styleId="Style1">
    <w:name w:val="Style1"/>
    <w:uiPriority w:val="99"/>
    <w:rsid w:val="00D00D00"/>
    <w:pPr>
      <w:numPr>
        <w:numId w:val="17"/>
      </w:numPr>
    </w:pPr>
  </w:style>
  <w:style w:type="paragraph" w:styleId="BalloonText">
    <w:name w:val="Balloon Text"/>
    <w:basedOn w:val="Normal"/>
    <w:link w:val="BalloonTextChar"/>
    <w:uiPriority w:val="99"/>
    <w:semiHidden/>
    <w:unhideWhenUsed/>
    <w:rsid w:val="00E6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76"/>
    <w:rPr>
      <w:rFonts w:ascii="Tahoma" w:hAnsi="Tahoma" w:cs="Tahoma"/>
      <w:sz w:val="16"/>
      <w:szCs w:val="16"/>
    </w:rPr>
  </w:style>
  <w:style w:type="paragraph" w:styleId="Title">
    <w:name w:val="Title"/>
    <w:basedOn w:val="Normal"/>
    <w:next w:val="Normal"/>
    <w:link w:val="TitleChar"/>
    <w:uiPriority w:val="10"/>
    <w:qFormat/>
    <w:rsid w:val="00EB3A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3A24"/>
    <w:rPr>
      <w:rFonts w:asciiTheme="majorHAnsi" w:eastAsiaTheme="majorEastAsia" w:hAnsiTheme="majorHAnsi" w:cstheme="majorBidi"/>
      <w:color w:val="17365D" w:themeColor="text2" w:themeShade="BF"/>
      <w:spacing w:val="5"/>
      <w:kern w:val="28"/>
      <w:sz w:val="52"/>
      <w:szCs w:val="52"/>
    </w:rPr>
  </w:style>
  <w:style w:type="paragraph" w:customStyle="1" w:styleId="FrontPageTitle">
    <w:name w:val="Front Page Title"/>
    <w:basedOn w:val="Normal"/>
    <w:qFormat/>
    <w:rsid w:val="00EB3A24"/>
    <w:rPr>
      <w:rFonts w:ascii="Arial" w:eastAsiaTheme="majorEastAsia" w:hAnsi="Arial" w:cstheme="majorBidi"/>
      <w:b/>
      <w:color w:val="548DD4" w:themeColor="text2" w:themeTint="99"/>
      <w:spacing w:val="5"/>
      <w:kern w:val="28"/>
      <w:sz w:val="52"/>
      <w:szCs w:val="52"/>
    </w:rPr>
  </w:style>
  <w:style w:type="paragraph" w:styleId="Header">
    <w:name w:val="header"/>
    <w:basedOn w:val="Normal"/>
    <w:link w:val="HeaderChar"/>
    <w:uiPriority w:val="99"/>
    <w:semiHidden/>
    <w:unhideWhenUsed/>
    <w:rsid w:val="00EB3A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3A24"/>
  </w:style>
  <w:style w:type="paragraph" w:styleId="Footer">
    <w:name w:val="footer"/>
    <w:basedOn w:val="Normal"/>
    <w:link w:val="FooterChar"/>
    <w:uiPriority w:val="99"/>
    <w:semiHidden/>
    <w:unhideWhenUsed/>
    <w:rsid w:val="00EB3A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B3A24"/>
  </w:style>
  <w:style w:type="paragraph" w:styleId="Subtitle">
    <w:name w:val="Subtitle"/>
    <w:basedOn w:val="Normal"/>
    <w:next w:val="Normal"/>
    <w:link w:val="SubtitleChar"/>
    <w:uiPriority w:val="11"/>
    <w:qFormat/>
    <w:rsid w:val="003921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92179"/>
    <w:rPr>
      <w:rFonts w:asciiTheme="majorHAnsi" w:eastAsiaTheme="majorEastAsia" w:hAnsiTheme="majorHAnsi" w:cstheme="majorBidi"/>
      <w:i/>
      <w:iCs/>
      <w:color w:val="4F81BD" w:themeColor="accent1"/>
      <w:spacing w:val="15"/>
      <w:sz w:val="24"/>
      <w:szCs w:val="24"/>
    </w:rPr>
  </w:style>
  <w:style w:type="paragraph" w:customStyle="1" w:styleId="Standardbullet">
    <w:name w:val="Standard bullet"/>
    <w:basedOn w:val="StandardParagrpah"/>
    <w:qFormat/>
    <w:rsid w:val="00DD1639"/>
    <w:pPr>
      <w:numPr>
        <w:numId w:val="28"/>
      </w:numPr>
    </w:pPr>
  </w:style>
  <w:style w:type="paragraph" w:customStyle="1" w:styleId="Standardnumberbullet">
    <w:name w:val="Standard number bullet"/>
    <w:basedOn w:val="Standardbullet"/>
    <w:qFormat/>
    <w:rsid w:val="00DD1639"/>
    <w:pPr>
      <w:numPr>
        <w:numId w:val="2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84B3E-6FB3-473D-8A37-AF19368B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8</cp:revision>
  <cp:lastPrinted>2014-08-28T14:45:00Z</cp:lastPrinted>
  <dcterms:created xsi:type="dcterms:W3CDTF">2017-01-24T17:02:00Z</dcterms:created>
  <dcterms:modified xsi:type="dcterms:W3CDTF">2017-02-08T14:51:00Z</dcterms:modified>
</cp:coreProperties>
</file>